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1B" w:rsidRPr="00CD0A66" w:rsidRDefault="001205F8" w:rsidP="00AB6B1B">
      <w:pPr>
        <w:jc w:val="center"/>
        <w:rPr>
          <w:b/>
          <w:sz w:val="40"/>
          <w:szCs w:val="40"/>
        </w:rPr>
      </w:pPr>
      <w:r>
        <w:rPr>
          <w:b/>
          <w:sz w:val="40"/>
          <w:szCs w:val="40"/>
        </w:rPr>
        <w:t>Second</w:t>
      </w:r>
      <w:r w:rsidR="009436BD">
        <w:rPr>
          <w:b/>
          <w:sz w:val="40"/>
          <w:szCs w:val="40"/>
        </w:rPr>
        <w:t xml:space="preserve"> Quarter 2009</w:t>
      </w:r>
      <w:r w:rsidR="009E3693" w:rsidRPr="00CD0A66">
        <w:rPr>
          <w:b/>
          <w:sz w:val="40"/>
          <w:szCs w:val="40"/>
        </w:rPr>
        <w:t xml:space="preserve"> </w:t>
      </w:r>
      <w:r w:rsidR="0070685C" w:rsidRPr="00CD0A66">
        <w:rPr>
          <w:b/>
          <w:sz w:val="40"/>
          <w:szCs w:val="40"/>
        </w:rPr>
        <w:t>Client Newsletter</w:t>
      </w:r>
      <w:r w:rsidR="009E3693" w:rsidRPr="00CD0A66">
        <w:rPr>
          <w:b/>
          <w:sz w:val="40"/>
          <w:szCs w:val="40"/>
        </w:rPr>
        <w:br/>
      </w:r>
      <w:r w:rsidR="006B2CA2" w:rsidRPr="00CD0A66">
        <w:rPr>
          <w:b/>
          <w:sz w:val="40"/>
          <w:szCs w:val="40"/>
        </w:rPr>
        <w:t>Yanni &amp; Associate</w:t>
      </w:r>
      <w:r w:rsidR="00575006" w:rsidRPr="00CD0A66">
        <w:rPr>
          <w:b/>
          <w:sz w:val="40"/>
          <w:szCs w:val="40"/>
        </w:rPr>
        <w:t>s Investment Advisors, LLC</w:t>
      </w:r>
    </w:p>
    <w:p w:rsidR="00370ABB" w:rsidRPr="00370ABB" w:rsidRDefault="00370ABB" w:rsidP="00AB6B1B">
      <w:pPr>
        <w:jc w:val="center"/>
        <w:rPr>
          <w:b/>
          <w:sz w:val="20"/>
          <w:szCs w:val="20"/>
        </w:rPr>
      </w:pPr>
    </w:p>
    <w:p w:rsidR="00804260" w:rsidRDefault="0070685C" w:rsidP="00CD0A66">
      <w:pPr>
        <w:jc w:val="center"/>
        <w:rPr>
          <w:b/>
          <w:sz w:val="28"/>
          <w:szCs w:val="28"/>
          <w:u w:val="single"/>
        </w:rPr>
      </w:pPr>
      <w:r w:rsidRPr="00CD0A66">
        <w:rPr>
          <w:b/>
          <w:sz w:val="28"/>
          <w:szCs w:val="28"/>
          <w:u w:val="single"/>
        </w:rPr>
        <w:t>Review</w:t>
      </w:r>
      <w:r w:rsidR="00DD74D5">
        <w:rPr>
          <w:b/>
          <w:sz w:val="28"/>
          <w:szCs w:val="28"/>
          <w:u w:val="single"/>
        </w:rPr>
        <w:t xml:space="preserve"> of the Markets</w:t>
      </w:r>
    </w:p>
    <w:p w:rsidR="00C15429" w:rsidRPr="007653A8" w:rsidRDefault="00C15429" w:rsidP="00CD0A66">
      <w:pPr>
        <w:jc w:val="center"/>
        <w:rPr>
          <w:b/>
          <w:sz w:val="20"/>
          <w:szCs w:val="20"/>
          <w:u w:val="single"/>
        </w:rPr>
      </w:pPr>
    </w:p>
    <w:p w:rsidR="006713F8" w:rsidRDefault="00072F91" w:rsidP="00AB6B1B">
      <w:r>
        <w:t xml:space="preserve">We believe the stock market’s bottom was reached in </w:t>
      </w:r>
      <w:r w:rsidR="009165A7">
        <w:t>March</w:t>
      </w:r>
      <w:r w:rsidR="002415FF">
        <w:t>, 2009</w:t>
      </w:r>
      <w:r>
        <w:t xml:space="preserve">.  </w:t>
      </w:r>
      <w:r w:rsidR="0069571E">
        <w:t xml:space="preserve">The markets have rebounded substantially since then.  </w:t>
      </w:r>
      <w:r w:rsidR="00352F96">
        <w:t>Q</w:t>
      </w:r>
      <w:r w:rsidR="003F733B">
        <w:t xml:space="preserve">uarterly </w:t>
      </w:r>
      <w:r w:rsidR="009165A7">
        <w:t xml:space="preserve">and year-to-date </w:t>
      </w:r>
      <w:r w:rsidR="00F74664">
        <w:t>equity returns can be summarized below:</w:t>
      </w:r>
    </w:p>
    <w:p w:rsidR="00AA4371" w:rsidRPr="009436BD" w:rsidRDefault="00AA4371" w:rsidP="00AB6B1B">
      <w:pPr>
        <w:rPr>
          <w:u w:val="single"/>
        </w:rPr>
      </w:pPr>
      <w:r>
        <w:tab/>
      </w:r>
      <w:r>
        <w:tab/>
      </w:r>
      <w:r>
        <w:tab/>
      </w:r>
      <w:r>
        <w:tab/>
      </w:r>
      <w:r>
        <w:tab/>
      </w:r>
      <w:r>
        <w:tab/>
      </w:r>
      <w:r>
        <w:tab/>
      </w:r>
      <w:r>
        <w:tab/>
      </w:r>
      <w:r>
        <w:tab/>
      </w:r>
      <w:r w:rsidR="009165A7">
        <w:rPr>
          <w:u w:val="single"/>
        </w:rPr>
        <w:t>2nd</w:t>
      </w:r>
      <w:r w:rsidR="00804260">
        <w:rPr>
          <w:u w:val="single"/>
        </w:rPr>
        <w:t xml:space="preserve"> Quarter 2009</w:t>
      </w:r>
      <w:r w:rsidR="00275E4E">
        <w:rPr>
          <w:u w:val="single"/>
        </w:rPr>
        <w:tab/>
        <w:t>Year-to-D</w:t>
      </w:r>
      <w:r w:rsidR="009165A7">
        <w:rPr>
          <w:u w:val="single"/>
        </w:rPr>
        <w:t>ate</w:t>
      </w:r>
    </w:p>
    <w:p w:rsidR="00352F96" w:rsidRDefault="00352F96" w:rsidP="00AB6B1B">
      <w:r>
        <w:tab/>
      </w:r>
      <w:r>
        <w:tab/>
        <w:t>S&amp;P 500</w:t>
      </w:r>
      <w:r>
        <w:tab/>
      </w:r>
      <w:r>
        <w:tab/>
      </w:r>
      <w:r w:rsidR="006713F8">
        <w:tab/>
      </w:r>
      <w:r w:rsidR="00BA6BD7">
        <w:tab/>
      </w:r>
      <w:r w:rsidR="006D14CB">
        <w:tab/>
      </w:r>
      <w:r w:rsidR="006D14CB">
        <w:tab/>
      </w:r>
      <w:r w:rsidR="00804260">
        <w:t xml:space="preserve">     </w:t>
      </w:r>
      <w:r w:rsidR="00D63701">
        <w:t>15.93</w:t>
      </w:r>
      <w:r>
        <w:t>%</w:t>
      </w:r>
      <w:r>
        <w:tab/>
      </w:r>
      <w:r w:rsidR="00D63701">
        <w:tab/>
      </w:r>
      <w:r w:rsidR="00275E4E">
        <w:t xml:space="preserve">     </w:t>
      </w:r>
      <w:r w:rsidR="00F250E6">
        <w:t>3.17%</w:t>
      </w:r>
    </w:p>
    <w:p w:rsidR="006713F8" w:rsidRDefault="00804260" w:rsidP="00AB6B1B">
      <w:r>
        <w:t xml:space="preserve"> </w:t>
      </w:r>
      <w:r w:rsidR="00352F96">
        <w:tab/>
      </w:r>
      <w:r w:rsidR="00352F96">
        <w:tab/>
      </w:r>
      <w:r w:rsidR="00AA4371">
        <w:t>S&amp;P Mid</w:t>
      </w:r>
      <w:r w:rsidR="007658FB">
        <w:t>-</w:t>
      </w:r>
      <w:r w:rsidR="00275E4E">
        <w:t>C</w:t>
      </w:r>
      <w:r w:rsidR="00AA4371">
        <w:t>ap</w:t>
      </w:r>
      <w:r w:rsidR="00AA4371">
        <w:tab/>
      </w:r>
      <w:r w:rsidR="00AA4371">
        <w:tab/>
      </w:r>
      <w:r w:rsidR="00AA4371">
        <w:tab/>
      </w:r>
      <w:r w:rsidR="00AA4371">
        <w:tab/>
      </w:r>
      <w:r w:rsidR="00AA4371">
        <w:tab/>
      </w:r>
      <w:r w:rsidR="00AA4371">
        <w:tab/>
      </w:r>
      <w:r>
        <w:t xml:space="preserve">     </w:t>
      </w:r>
      <w:r w:rsidR="00D63701">
        <w:t>18.75</w:t>
      </w:r>
      <w:r w:rsidR="009436BD">
        <w:t>%</w:t>
      </w:r>
      <w:r w:rsidR="00AA4371">
        <w:tab/>
      </w:r>
      <w:r w:rsidR="00F250E6">
        <w:tab/>
      </w:r>
      <w:r w:rsidR="00275E4E">
        <w:t xml:space="preserve">     </w:t>
      </w:r>
      <w:r w:rsidR="00F250E6">
        <w:t>8.47%</w:t>
      </w:r>
    </w:p>
    <w:p w:rsidR="006713F8" w:rsidRDefault="00BA6BD7" w:rsidP="00AB6B1B">
      <w:r>
        <w:tab/>
      </w:r>
      <w:r w:rsidR="007E1452">
        <w:tab/>
        <w:t>S&amp;P Small</w:t>
      </w:r>
      <w:r w:rsidR="007F2061">
        <w:t>-</w:t>
      </w:r>
      <w:r w:rsidR="00275E4E">
        <w:t>C</w:t>
      </w:r>
      <w:r w:rsidR="007E1452">
        <w:t>ap</w:t>
      </w:r>
      <w:r w:rsidR="007E1452">
        <w:tab/>
      </w:r>
      <w:r w:rsidR="007E1452">
        <w:tab/>
      </w:r>
      <w:r w:rsidR="007E1452">
        <w:tab/>
      </w:r>
      <w:r w:rsidR="007E1452">
        <w:tab/>
      </w:r>
      <w:r w:rsidR="007E1452">
        <w:tab/>
      </w:r>
      <w:r w:rsidR="00D63701">
        <w:t xml:space="preserve">     21.06</w:t>
      </w:r>
      <w:r w:rsidR="009436BD">
        <w:t>%</w:t>
      </w:r>
      <w:r w:rsidR="00AA4371">
        <w:tab/>
      </w:r>
      <w:r w:rsidR="00F250E6">
        <w:tab/>
      </w:r>
      <w:r w:rsidR="00275E4E">
        <w:t xml:space="preserve">     </w:t>
      </w:r>
      <w:r w:rsidR="00F250E6">
        <w:t>0.70%</w:t>
      </w:r>
    </w:p>
    <w:p w:rsidR="00896FDD" w:rsidRDefault="006713F8" w:rsidP="00AB6258">
      <w:r>
        <w:tab/>
      </w:r>
      <w:r w:rsidR="00BA6BD7">
        <w:tab/>
      </w:r>
      <w:r>
        <w:t>Morgan Stanley’s EA</w:t>
      </w:r>
      <w:r w:rsidR="007E1452">
        <w:t>FE (International Stocks)</w:t>
      </w:r>
      <w:r w:rsidR="007E1452">
        <w:tab/>
      </w:r>
      <w:r w:rsidR="00804260">
        <w:t xml:space="preserve">     </w:t>
      </w:r>
      <w:r w:rsidR="00D63701">
        <w:t>25.84</w:t>
      </w:r>
      <w:r w:rsidR="009436BD">
        <w:t>%</w:t>
      </w:r>
      <w:r w:rsidR="00AA4371">
        <w:tab/>
      </w:r>
      <w:r w:rsidR="00F250E6">
        <w:tab/>
      </w:r>
      <w:r w:rsidR="00275E4E">
        <w:t xml:space="preserve">     </w:t>
      </w:r>
      <w:r w:rsidR="00F250E6">
        <w:t>8.46%</w:t>
      </w:r>
    </w:p>
    <w:p w:rsidR="00816062" w:rsidRPr="009250CD" w:rsidRDefault="00151049" w:rsidP="00AB6258">
      <w:pPr>
        <w:rPr>
          <w:b/>
          <w:sz w:val="20"/>
          <w:szCs w:val="20"/>
          <w:u w:val="single"/>
        </w:rPr>
      </w:pPr>
      <w:r>
        <w:tab/>
      </w:r>
      <w:r w:rsidR="00816062">
        <w:tab/>
      </w:r>
    </w:p>
    <w:p w:rsidR="00EB128F" w:rsidRDefault="00816062" w:rsidP="00C15429">
      <w:pPr>
        <w:jc w:val="center"/>
        <w:rPr>
          <w:b/>
          <w:sz w:val="28"/>
          <w:szCs w:val="28"/>
          <w:u w:val="single"/>
        </w:rPr>
      </w:pPr>
      <w:r>
        <w:rPr>
          <w:b/>
          <w:sz w:val="28"/>
          <w:szCs w:val="28"/>
          <w:u w:val="single"/>
        </w:rPr>
        <w:t>I</w:t>
      </w:r>
      <w:r w:rsidR="0070685C" w:rsidRPr="00CD0A66">
        <w:rPr>
          <w:b/>
          <w:sz w:val="28"/>
          <w:szCs w:val="28"/>
          <w:u w:val="single"/>
        </w:rPr>
        <w:t>nvestment Forecast</w:t>
      </w:r>
    </w:p>
    <w:p w:rsidR="007653A8" w:rsidRPr="007653A8" w:rsidRDefault="007653A8" w:rsidP="00C15429">
      <w:pPr>
        <w:jc w:val="center"/>
        <w:rPr>
          <w:b/>
          <w:sz w:val="20"/>
          <w:szCs w:val="20"/>
          <w:u w:val="single"/>
        </w:rPr>
      </w:pPr>
    </w:p>
    <w:p w:rsidR="00B3362B" w:rsidRDefault="00AB6B1B" w:rsidP="00E649DC">
      <w:r w:rsidRPr="00AB6B1B">
        <w:tab/>
      </w:r>
      <w:r w:rsidR="00805637" w:rsidRPr="00CD0A66">
        <w:rPr>
          <w:b/>
          <w:u w:val="single"/>
        </w:rPr>
        <w:t>Economy</w:t>
      </w:r>
      <w:r w:rsidR="00805637" w:rsidRPr="00914062">
        <w:t xml:space="preserve"> </w:t>
      </w:r>
      <w:r w:rsidR="00805637" w:rsidRPr="00736C55">
        <w:t>–</w:t>
      </w:r>
      <w:r w:rsidR="00ED705E">
        <w:t xml:space="preserve"> </w:t>
      </w:r>
      <w:r w:rsidR="00A04E08">
        <w:t>The economy has c</w:t>
      </w:r>
      <w:r w:rsidR="00152044">
        <w:t>ertainly shown signs of</w:t>
      </w:r>
      <w:r w:rsidR="00A04E08">
        <w:t xml:space="preserve"> recovery.  It does appear that the housing price declines are showi</w:t>
      </w:r>
      <w:r w:rsidR="008B1C67">
        <w:t>ng definitive</w:t>
      </w:r>
      <w:r w:rsidR="007D177B">
        <w:t xml:space="preserve"> signs of stabilization</w:t>
      </w:r>
      <w:r w:rsidR="008B1C67">
        <w:t xml:space="preserve">.  Most major companies </w:t>
      </w:r>
      <w:r w:rsidR="007658FB">
        <w:t>appear</w:t>
      </w:r>
      <w:r w:rsidR="008B1C67">
        <w:t xml:space="preserve"> to have halted their large layoffs (as we saw around year-end).  </w:t>
      </w:r>
      <w:r w:rsidR="00BC46E9">
        <w:t>However, t</w:t>
      </w:r>
      <w:r w:rsidR="008B1C67">
        <w:t>he latest unemployment rate</w:t>
      </w:r>
      <w:r w:rsidR="002415FF">
        <w:t>,</w:t>
      </w:r>
      <w:r w:rsidR="008B1C67">
        <w:t xml:space="preserve"> which was for May</w:t>
      </w:r>
      <w:r w:rsidR="002415FF">
        <w:t>,</w:t>
      </w:r>
      <w:r w:rsidR="008B1C67">
        <w:t xml:space="preserve"> rose to 9.5%.  We do anticipate </w:t>
      </w:r>
      <w:r w:rsidR="00BC46E9">
        <w:t xml:space="preserve">that </w:t>
      </w:r>
      <w:r w:rsidR="008B1C67">
        <w:t xml:space="preserve">the unemployment rate </w:t>
      </w:r>
      <w:r w:rsidR="00BC46E9">
        <w:t>will</w:t>
      </w:r>
      <w:r w:rsidR="008B1C67">
        <w:t xml:space="preserve"> continue to rise and then plateau in the low tee</w:t>
      </w:r>
      <w:r w:rsidR="00275E4E">
        <w:t>ns before the end of the year. Again, w</w:t>
      </w:r>
      <w:r w:rsidR="008B1C67">
        <w:t xml:space="preserve">hile it does appear that the rate of job layoffs has slowed, </w:t>
      </w:r>
      <w:r w:rsidR="008B1C67" w:rsidRPr="00055B16">
        <w:rPr>
          <w:u w:val="single"/>
        </w:rPr>
        <w:t>there are very little signs of job creation</w:t>
      </w:r>
      <w:r w:rsidR="008B1C67">
        <w:t xml:space="preserve">.  We do believe it’s going to take several more months and well into 2010 for the unemployment rate to start moving lower.  </w:t>
      </w:r>
      <w:r w:rsidR="000968E3">
        <w:t xml:space="preserve">However, overall, we do believe the worst of this recession is behind us and sustained economic recovery will begin within a few months.  </w:t>
      </w:r>
    </w:p>
    <w:p w:rsidR="00B3362B" w:rsidRDefault="00B3362B" w:rsidP="00AB6B1B"/>
    <w:p w:rsidR="008260FC" w:rsidRDefault="009F28F6" w:rsidP="00AB6B1B">
      <w:r>
        <w:t>Yanni &amp; Associates Inve</w:t>
      </w:r>
      <w:r w:rsidR="00C50E7D">
        <w:t xml:space="preserve">stment Advisors, LLC recent quotes in </w:t>
      </w:r>
      <w:r w:rsidR="00BA3F80">
        <w:t>various publications</w:t>
      </w:r>
      <w:r w:rsidR="00C50E7D">
        <w:t>:</w:t>
      </w:r>
    </w:p>
    <w:p w:rsidR="001C2428" w:rsidRDefault="00136E1D" w:rsidP="00E649DC">
      <w:pPr>
        <w:rPr>
          <w:u w:val="single"/>
        </w:rPr>
      </w:pPr>
      <w:r>
        <w:t xml:space="preserve">● </w:t>
      </w:r>
      <w:r w:rsidR="00E649DC">
        <w:rPr>
          <w:u w:val="single"/>
        </w:rPr>
        <w:t>Pittsburgh Business Times, Insights, Ben Semmes May 8-14</w:t>
      </w:r>
      <w:r w:rsidR="00214149">
        <w:rPr>
          <w:u w:val="single"/>
        </w:rPr>
        <w:t>, 2009</w:t>
      </w:r>
    </w:p>
    <w:p w:rsidR="00C50E7D" w:rsidRDefault="00C50E7D" w:rsidP="00E649DC">
      <w:r>
        <w:t xml:space="preserve">● </w:t>
      </w:r>
      <w:r>
        <w:rPr>
          <w:u w:val="single"/>
        </w:rPr>
        <w:t>Pittsburgh Post Gazette</w:t>
      </w:r>
      <w:r w:rsidR="00B61C72">
        <w:rPr>
          <w:u w:val="single"/>
        </w:rPr>
        <w:t xml:space="preserve">, TIPS </w:t>
      </w:r>
      <w:r w:rsidR="00152044">
        <w:rPr>
          <w:u w:val="single"/>
        </w:rPr>
        <w:t>C</w:t>
      </w:r>
      <w:r w:rsidR="00B61C72">
        <w:rPr>
          <w:u w:val="single"/>
        </w:rPr>
        <w:t xml:space="preserve">an </w:t>
      </w:r>
      <w:r w:rsidR="00152044">
        <w:rPr>
          <w:u w:val="single"/>
        </w:rPr>
        <w:t>Provide I</w:t>
      </w:r>
      <w:r w:rsidR="00B61C72">
        <w:rPr>
          <w:u w:val="single"/>
        </w:rPr>
        <w:t xml:space="preserve">nflation </w:t>
      </w:r>
      <w:r w:rsidR="00152044">
        <w:rPr>
          <w:u w:val="single"/>
        </w:rPr>
        <w:t>P</w:t>
      </w:r>
      <w:r w:rsidR="00B61C72">
        <w:rPr>
          <w:u w:val="single"/>
        </w:rPr>
        <w:t>rotection</w:t>
      </w:r>
      <w:r>
        <w:rPr>
          <w:u w:val="single"/>
        </w:rPr>
        <w:t xml:space="preserve">, Len </w:t>
      </w:r>
      <w:proofErr w:type="spellStart"/>
      <w:r>
        <w:rPr>
          <w:u w:val="single"/>
        </w:rPr>
        <w:t>Boselovic</w:t>
      </w:r>
      <w:proofErr w:type="spellEnd"/>
      <w:r>
        <w:rPr>
          <w:u w:val="single"/>
        </w:rPr>
        <w:t xml:space="preserve"> July 5, 2009</w:t>
      </w:r>
    </w:p>
    <w:p w:rsidR="00136325" w:rsidRDefault="00136325" w:rsidP="00AB6B1B"/>
    <w:p w:rsidR="00D5200C" w:rsidRDefault="00EB128F" w:rsidP="00AB6B1B">
      <w:r>
        <w:tab/>
      </w:r>
      <w:r w:rsidR="00805637" w:rsidRPr="00CD0A66">
        <w:rPr>
          <w:b/>
          <w:u w:val="single"/>
        </w:rPr>
        <w:t>Equities</w:t>
      </w:r>
      <w:r w:rsidR="00805637" w:rsidRPr="00736C55">
        <w:t xml:space="preserve"> –</w:t>
      </w:r>
      <w:r w:rsidR="002D57B3">
        <w:t xml:space="preserve"> During the past quarter, we </w:t>
      </w:r>
      <w:r w:rsidR="0032193C">
        <w:t>increased our equities</w:t>
      </w:r>
      <w:r w:rsidR="00214149">
        <w:t>’</w:t>
      </w:r>
      <w:r w:rsidR="0032193C">
        <w:t xml:space="preserve"> exposure on multiple occasions </w:t>
      </w:r>
      <w:r w:rsidR="002D57B3">
        <w:t xml:space="preserve">and have </w:t>
      </w:r>
      <w:r w:rsidR="002415FF">
        <w:t xml:space="preserve">nearly </w:t>
      </w:r>
      <w:r w:rsidR="002D57B3">
        <w:t>removed our underweight to stocks</w:t>
      </w:r>
      <w:r w:rsidR="002415FF">
        <w:t xml:space="preserve"> (still very slightly underweighted stocks relative to bonds)</w:t>
      </w:r>
      <w:r w:rsidR="002D57B3">
        <w:t xml:space="preserve">.   </w:t>
      </w:r>
      <w:r w:rsidR="00BB26A0">
        <w:t xml:space="preserve">We added </w:t>
      </w:r>
      <w:r w:rsidR="007B27D5">
        <w:t xml:space="preserve">to equities </w:t>
      </w:r>
      <w:r w:rsidR="00BB26A0">
        <w:t>during the quarter mainly in the following formats:</w:t>
      </w:r>
    </w:p>
    <w:p w:rsidR="005C00FE" w:rsidRDefault="005C00FE" w:rsidP="00AB6B1B"/>
    <w:p w:rsidR="00BB26A0" w:rsidRDefault="00025D1C" w:rsidP="00BB26A0">
      <w:pPr>
        <w:numPr>
          <w:ilvl w:val="0"/>
          <w:numId w:val="9"/>
        </w:numPr>
      </w:pPr>
      <w:r>
        <w:t>Increased</w:t>
      </w:r>
      <w:r w:rsidR="00BB26A0">
        <w:t xml:space="preserve"> our international exposure with an International Value ETF.  This now puts us back to </w:t>
      </w:r>
      <w:r w:rsidR="00214149">
        <w:t xml:space="preserve">being </w:t>
      </w:r>
      <w:r w:rsidR="00BB26A0">
        <w:t>neutrally weighted international stocks relative to domestic stocks.</w:t>
      </w:r>
      <w:r w:rsidR="000A14E9">
        <w:t xml:space="preserve">  The dollar has weakened substantially versus most other major currencies over the last quarter, which has ultimately aided in </w:t>
      </w:r>
      <w:r w:rsidR="00214149">
        <w:t>i</w:t>
      </w:r>
      <w:r w:rsidR="007658FB">
        <w:t>nternational market</w:t>
      </w:r>
      <w:r w:rsidR="000A14E9">
        <w:t>s</w:t>
      </w:r>
      <w:r w:rsidR="007658FB">
        <w:t>’</w:t>
      </w:r>
      <w:r w:rsidR="000A14E9">
        <w:t xml:space="preserve"> </w:t>
      </w:r>
      <w:r w:rsidR="002C603F">
        <w:t xml:space="preserve">recent </w:t>
      </w:r>
      <w:r w:rsidR="000A14E9">
        <w:t xml:space="preserve">outperformance.  </w:t>
      </w:r>
    </w:p>
    <w:p w:rsidR="00BB26A0" w:rsidRDefault="00BB26A0" w:rsidP="00BB26A0">
      <w:pPr>
        <w:ind w:left="1080"/>
      </w:pPr>
    </w:p>
    <w:p w:rsidR="00BB26A0" w:rsidRDefault="00025D1C" w:rsidP="00BB26A0">
      <w:pPr>
        <w:numPr>
          <w:ilvl w:val="0"/>
          <w:numId w:val="9"/>
        </w:numPr>
      </w:pPr>
      <w:r>
        <w:t>Added</w:t>
      </w:r>
      <w:r w:rsidR="00BB26A0">
        <w:t xml:space="preserve"> a niche position </w:t>
      </w:r>
      <w:proofErr w:type="gramStart"/>
      <w:r w:rsidR="00BB26A0">
        <w:t>in a financial services</w:t>
      </w:r>
      <w:proofErr w:type="gramEnd"/>
      <w:r w:rsidR="00BB26A0">
        <w:t xml:space="preserve"> ETF.  We believe that financial institutions will ultimately lead us out of this recession and are thus positioning ourselves for the long-term.</w:t>
      </w:r>
    </w:p>
    <w:p w:rsidR="00BB26A0" w:rsidRDefault="00BB26A0" w:rsidP="00BB26A0">
      <w:pPr>
        <w:rPr>
          <w:rFonts w:ascii="Calibri" w:hAnsi="Calibri"/>
          <w:sz w:val="22"/>
          <w:szCs w:val="22"/>
          <w:lang w:bidi="en-US"/>
        </w:rPr>
      </w:pPr>
    </w:p>
    <w:p w:rsidR="00BB26A0" w:rsidRPr="00025D1C" w:rsidRDefault="00EB7296" w:rsidP="00BB26A0">
      <w:pPr>
        <w:numPr>
          <w:ilvl w:val="0"/>
          <w:numId w:val="9"/>
        </w:numPr>
      </w:pPr>
      <w:r>
        <w:rPr>
          <w:lang w:bidi="en-US"/>
        </w:rPr>
        <w:t>I</w:t>
      </w:r>
      <w:r w:rsidR="007B27D5" w:rsidRPr="00025D1C">
        <w:rPr>
          <w:lang w:bidi="en-US"/>
        </w:rPr>
        <w:t xml:space="preserve">ncreased our </w:t>
      </w:r>
      <w:r w:rsidR="007658FB">
        <w:rPr>
          <w:lang w:bidi="en-US"/>
        </w:rPr>
        <w:t>small-</w:t>
      </w:r>
      <w:r w:rsidR="007F2061">
        <w:rPr>
          <w:lang w:bidi="en-US"/>
        </w:rPr>
        <w:t>cap exposure with a small-</w:t>
      </w:r>
      <w:r w:rsidR="007B27D5" w:rsidRPr="00025D1C">
        <w:rPr>
          <w:lang w:bidi="en-US"/>
        </w:rPr>
        <w:t>cap ETF.  We a</w:t>
      </w:r>
      <w:r w:rsidR="007F2061">
        <w:rPr>
          <w:lang w:bidi="en-US"/>
        </w:rPr>
        <w:t>re now neutrally weighted small-</w:t>
      </w:r>
      <w:r w:rsidR="007658FB">
        <w:rPr>
          <w:lang w:bidi="en-US"/>
        </w:rPr>
        <w:t>cap stocks relative to large-</w:t>
      </w:r>
      <w:r w:rsidR="007B27D5" w:rsidRPr="00025D1C">
        <w:rPr>
          <w:lang w:bidi="en-US"/>
        </w:rPr>
        <w:t>cap stocks.</w:t>
      </w:r>
    </w:p>
    <w:p w:rsidR="007B27D5" w:rsidRDefault="007B27D5" w:rsidP="007B27D5"/>
    <w:p w:rsidR="00D85694" w:rsidRDefault="00EB7296" w:rsidP="00AB6B1B">
      <w:pPr>
        <w:numPr>
          <w:ilvl w:val="0"/>
          <w:numId w:val="9"/>
        </w:numPr>
      </w:pPr>
      <w:r>
        <w:t>A</w:t>
      </w:r>
      <w:r w:rsidR="007B27D5">
        <w:t>dd</w:t>
      </w:r>
      <w:r w:rsidR="0050287F">
        <w:t xml:space="preserve">ed </w:t>
      </w:r>
      <w:r w:rsidR="007F2061">
        <w:t xml:space="preserve">an actively managed large </w:t>
      </w:r>
      <w:r w:rsidR="007B27D5">
        <w:t xml:space="preserve">core equity mutual fund.  This </w:t>
      </w:r>
      <w:r w:rsidR="007658FB">
        <w:t>f</w:t>
      </w:r>
      <w:r w:rsidR="007B27D5">
        <w:t xml:space="preserve">und has been one of the top performers over the last few years and we believe </w:t>
      </w:r>
      <w:r w:rsidR="009250CD">
        <w:t>it</w:t>
      </w:r>
      <w:r w:rsidR="007B27D5">
        <w:t xml:space="preserve"> will fit appropriately with our diversified ETF approach.  </w:t>
      </w:r>
      <w:r w:rsidR="00D85694">
        <w:tab/>
        <w:t xml:space="preserve"> </w:t>
      </w:r>
    </w:p>
    <w:p w:rsidR="00E649DC" w:rsidRPr="00D5200C" w:rsidRDefault="00E649DC" w:rsidP="00AB6B1B"/>
    <w:p w:rsidR="00CE76F3" w:rsidRDefault="00EB128F" w:rsidP="003A7025">
      <w:r>
        <w:tab/>
      </w:r>
      <w:r w:rsidR="00805637" w:rsidRPr="00CD0A66">
        <w:rPr>
          <w:b/>
          <w:u w:val="single"/>
        </w:rPr>
        <w:t>Fixed Income</w:t>
      </w:r>
      <w:r w:rsidR="00805637" w:rsidRPr="00736C55">
        <w:t xml:space="preserve"> </w:t>
      </w:r>
      <w:r w:rsidR="00215212">
        <w:t>–</w:t>
      </w:r>
      <w:r w:rsidR="00805637" w:rsidRPr="00736C55">
        <w:t xml:space="preserve"> </w:t>
      </w:r>
      <w:r w:rsidR="0077570F">
        <w:t xml:space="preserve">We have continued to invest in short-term certificates of deposit and taxable high-grade corporate bonds.  </w:t>
      </w:r>
      <w:r w:rsidR="005C00FE">
        <w:t>Y</w:t>
      </w:r>
      <w:r w:rsidR="0077570F">
        <w:t>ields for short-term de</w:t>
      </w:r>
      <w:r w:rsidR="005C00FE">
        <w:t>bt instruments continued to decrease</w:t>
      </w:r>
      <w:r w:rsidR="0077570F">
        <w:t xml:space="preserve"> over the </w:t>
      </w:r>
      <w:r w:rsidR="005C00FE">
        <w:t xml:space="preserve">last quarter.  As a result, </w:t>
      </w:r>
      <w:r w:rsidR="0077570F">
        <w:t xml:space="preserve">we found alternatives with using callable </w:t>
      </w:r>
      <w:r w:rsidR="00344B53">
        <w:t xml:space="preserve">corporate </w:t>
      </w:r>
      <w:r w:rsidR="0077570F">
        <w:t>bonds and step-up bonds</w:t>
      </w:r>
      <w:r w:rsidR="005C00FE">
        <w:t xml:space="preserve"> (</w:t>
      </w:r>
      <w:r w:rsidR="00344B53">
        <w:t>the bond</w:t>
      </w:r>
      <w:r w:rsidR="00591670">
        <w:t>’</w:t>
      </w:r>
      <w:r w:rsidR="00344B53">
        <w:t>s coupons</w:t>
      </w:r>
      <w:r w:rsidR="00591670">
        <w:t xml:space="preserve"> are stepped-</w:t>
      </w:r>
      <w:r w:rsidR="005C00FE">
        <w:t>up every few years)</w:t>
      </w:r>
      <w:r w:rsidR="0077570F">
        <w:t xml:space="preserve">.   </w:t>
      </w:r>
      <w:r w:rsidR="00344B53">
        <w:t>An example of a recent purchase is a General Electric 02/13/19 maturity callable</w:t>
      </w:r>
      <w:r w:rsidR="00591670">
        <w:t>, step-up</w:t>
      </w:r>
      <w:r w:rsidR="00344B53">
        <w:t xml:space="preserve"> bond.  It has a coupon of 5% that will “step-up” to 6% on 02/13/2011, and then to 8% on 02/13/16.  We purchased the bond at $99.10 </w:t>
      </w:r>
      <w:r w:rsidR="00344B53" w:rsidRPr="0010780E">
        <w:rPr>
          <w:u w:val="single"/>
        </w:rPr>
        <w:t xml:space="preserve">where it was priced to yield </w:t>
      </w:r>
      <w:r w:rsidR="00344B53" w:rsidRPr="009120D1">
        <w:rPr>
          <w:b/>
          <w:u w:val="single"/>
        </w:rPr>
        <w:t>5.599%</w:t>
      </w:r>
      <w:r w:rsidR="00344B53" w:rsidRPr="0010780E">
        <w:rPr>
          <w:u w:val="single"/>
        </w:rPr>
        <w:t xml:space="preserve"> on the likelihood it will be called on 02/13/11</w:t>
      </w:r>
      <w:r w:rsidR="00591670" w:rsidRPr="0010780E">
        <w:rPr>
          <w:u w:val="single"/>
        </w:rPr>
        <w:t xml:space="preserve"> (which we believe will happen)</w:t>
      </w:r>
      <w:r w:rsidR="00344B53">
        <w:t xml:space="preserve">.  If it’s held to maturity, the yield will be 6.418% instead.  </w:t>
      </w:r>
    </w:p>
    <w:p w:rsidR="00B3374C" w:rsidRPr="00804260" w:rsidRDefault="00B3374C" w:rsidP="003A7025">
      <w:pPr>
        <w:rPr>
          <w:b/>
        </w:rPr>
      </w:pPr>
      <w:r>
        <w:br w:type="page"/>
      </w:r>
    </w:p>
    <w:p w:rsidR="00CE76F3" w:rsidRDefault="00CE76F3" w:rsidP="00CE76F3">
      <w:pPr>
        <w:jc w:val="center"/>
        <w:rPr>
          <w:b/>
          <w:sz w:val="28"/>
          <w:szCs w:val="28"/>
          <w:u w:val="single"/>
        </w:rPr>
      </w:pPr>
      <w:r>
        <w:rPr>
          <w:b/>
          <w:sz w:val="28"/>
          <w:szCs w:val="28"/>
          <w:u w:val="single"/>
        </w:rPr>
        <w:t>Yanni &amp; Associates Investment Advisors, LLC Firm Update</w:t>
      </w:r>
    </w:p>
    <w:p w:rsidR="00005801" w:rsidRPr="00816062" w:rsidRDefault="00005801" w:rsidP="00CE76F3">
      <w:pPr>
        <w:jc w:val="center"/>
        <w:rPr>
          <w:b/>
          <w:sz w:val="28"/>
          <w:szCs w:val="28"/>
          <w:u w:val="single"/>
        </w:rPr>
      </w:pPr>
    </w:p>
    <w:p w:rsidR="00CE76F3" w:rsidRDefault="00BB4E38" w:rsidP="00CE76F3">
      <w:r>
        <w:t xml:space="preserve">Our </w:t>
      </w:r>
      <w:r w:rsidR="00B823EA">
        <w:t>F</w:t>
      </w:r>
      <w:r>
        <w:t xml:space="preserve">irm has continued to grow with the addition of </w:t>
      </w:r>
      <w:r w:rsidRPr="001177A3">
        <w:rPr>
          <w:u w:val="single"/>
        </w:rPr>
        <w:t xml:space="preserve">four new </w:t>
      </w:r>
      <w:r w:rsidR="00275E4E">
        <w:rPr>
          <w:u w:val="single"/>
        </w:rPr>
        <w:t xml:space="preserve">client </w:t>
      </w:r>
      <w:r w:rsidRPr="001177A3">
        <w:rPr>
          <w:u w:val="single"/>
        </w:rPr>
        <w:t>relationships over the past quarter</w:t>
      </w:r>
      <w:r>
        <w:t xml:space="preserve">.  </w:t>
      </w:r>
      <w:r w:rsidR="00C043A2">
        <w:t xml:space="preserve">Proudly, we can report that we have added </w:t>
      </w:r>
      <w:r>
        <w:t xml:space="preserve">eleven relationships over the past eight months.  Our assets under management are just shy of $25 million.  </w:t>
      </w:r>
    </w:p>
    <w:p w:rsidR="00B823EA" w:rsidRDefault="00B823EA" w:rsidP="00CE76F3"/>
    <w:p w:rsidR="00B823EA" w:rsidRDefault="00B823EA" w:rsidP="00B823EA">
      <w:r>
        <w:t>Our “custodian of choice”, Schwab Institutional</w:t>
      </w:r>
      <w:r w:rsidR="00184600">
        <w:t>,</w:t>
      </w:r>
      <w:r>
        <w:t xml:space="preserve"> announced it is waiving all equity trading fees and reimbursing transfer of account fees for all new-to-Schwab clients for up to one year for accounts that open by the end of this year.  We do manage multiple accounts that are using other firms as custodian and are not exclusive to using Schwab Institutional.  </w:t>
      </w:r>
    </w:p>
    <w:p w:rsidR="00810807" w:rsidRDefault="00810807" w:rsidP="00CE76F3"/>
    <w:p w:rsidR="00810807" w:rsidRDefault="00810807" w:rsidP="00CE76F3">
      <w:r>
        <w:t xml:space="preserve">As mentioned in the </w:t>
      </w:r>
      <w:r w:rsidR="00B823EA">
        <w:t>F</w:t>
      </w:r>
      <w:r>
        <w:t xml:space="preserve">irst </w:t>
      </w:r>
      <w:r w:rsidR="00B823EA">
        <w:t>Q</w:t>
      </w:r>
      <w:r>
        <w:t xml:space="preserve">uarter </w:t>
      </w:r>
      <w:r w:rsidR="00B823EA">
        <w:t>N</w:t>
      </w:r>
      <w:r>
        <w:t xml:space="preserve">ewsletter, we did hire an Office Manager, Irene Pike.  We have started discussions with several people for various </w:t>
      </w:r>
      <w:r w:rsidR="007658FB">
        <w:t xml:space="preserve">other </w:t>
      </w:r>
      <w:r>
        <w:t xml:space="preserve">positions and will be hiring again at the end of the year.  </w:t>
      </w:r>
    </w:p>
    <w:p w:rsidR="0045749D" w:rsidRDefault="0045749D" w:rsidP="00CE76F3"/>
    <w:p w:rsidR="00AB6B1B" w:rsidRPr="00816062" w:rsidRDefault="0083528B" w:rsidP="00CD0A66">
      <w:pPr>
        <w:jc w:val="center"/>
        <w:rPr>
          <w:b/>
          <w:sz w:val="28"/>
          <w:szCs w:val="28"/>
          <w:u w:val="single"/>
        </w:rPr>
      </w:pPr>
      <w:r w:rsidRPr="00816062">
        <w:rPr>
          <w:b/>
          <w:sz w:val="28"/>
          <w:szCs w:val="28"/>
          <w:u w:val="single"/>
        </w:rPr>
        <w:t xml:space="preserve">Our </w:t>
      </w:r>
      <w:r w:rsidR="00CD0A66" w:rsidRPr="00816062">
        <w:rPr>
          <w:b/>
          <w:sz w:val="28"/>
          <w:szCs w:val="28"/>
          <w:u w:val="single"/>
        </w:rPr>
        <w:t>A</w:t>
      </w:r>
      <w:r w:rsidR="00C0622E" w:rsidRPr="00816062">
        <w:rPr>
          <w:b/>
          <w:sz w:val="28"/>
          <w:szCs w:val="28"/>
          <w:u w:val="single"/>
        </w:rPr>
        <w:t xml:space="preserve">ctions and </w:t>
      </w:r>
      <w:r w:rsidR="00CD0A66" w:rsidRPr="00816062">
        <w:rPr>
          <w:b/>
          <w:sz w:val="28"/>
          <w:szCs w:val="28"/>
          <w:u w:val="single"/>
        </w:rPr>
        <w:t>Recommendations Can Be Summarized As F</w:t>
      </w:r>
      <w:r w:rsidR="001C34F5">
        <w:rPr>
          <w:b/>
          <w:sz w:val="28"/>
          <w:szCs w:val="28"/>
          <w:u w:val="single"/>
        </w:rPr>
        <w:t>ollows</w:t>
      </w:r>
    </w:p>
    <w:p w:rsidR="00CD0A66" w:rsidRPr="00DC7994" w:rsidRDefault="00CD0A66" w:rsidP="00CD0A66">
      <w:pPr>
        <w:jc w:val="center"/>
      </w:pPr>
    </w:p>
    <w:p w:rsidR="00AB6B1B" w:rsidRPr="00816062" w:rsidRDefault="0010093C" w:rsidP="00AB6B1B">
      <w:pPr>
        <w:numPr>
          <w:ilvl w:val="0"/>
          <w:numId w:val="6"/>
        </w:numPr>
      </w:pPr>
      <w:r>
        <w:t xml:space="preserve">We </w:t>
      </w:r>
      <w:r w:rsidR="00E649DC" w:rsidRPr="00D67A74">
        <w:rPr>
          <w:u w:val="single"/>
        </w:rPr>
        <w:t>are now</w:t>
      </w:r>
      <w:r w:rsidR="00E649DC">
        <w:t xml:space="preserve"> </w:t>
      </w:r>
      <w:r w:rsidR="00714AA0">
        <w:rPr>
          <w:b/>
        </w:rPr>
        <w:t>very slightly underweighted stocks</w:t>
      </w:r>
      <w:r w:rsidR="00AF06A0" w:rsidRPr="006B1BDB">
        <w:rPr>
          <w:b/>
        </w:rPr>
        <w:t xml:space="preserve"> relative to b</w:t>
      </w:r>
      <w:r w:rsidR="0083528B" w:rsidRPr="006B1BDB">
        <w:rPr>
          <w:b/>
        </w:rPr>
        <w:t>onds</w:t>
      </w:r>
      <w:r w:rsidR="0083528B" w:rsidRPr="00816062">
        <w:t>.</w:t>
      </w:r>
    </w:p>
    <w:p w:rsidR="00CD0A66" w:rsidRPr="00816062" w:rsidRDefault="00CD0A66" w:rsidP="00CD0A66">
      <w:pPr>
        <w:ind w:left="360"/>
      </w:pPr>
    </w:p>
    <w:p w:rsidR="00CD0A66" w:rsidRPr="00816062" w:rsidRDefault="00CD0A66" w:rsidP="00CD0A66">
      <w:pPr>
        <w:numPr>
          <w:ilvl w:val="0"/>
          <w:numId w:val="6"/>
        </w:numPr>
      </w:pPr>
      <w:r w:rsidRPr="00816062">
        <w:t xml:space="preserve">We </w:t>
      </w:r>
      <w:r w:rsidR="00E649DC">
        <w:t xml:space="preserve">maintain our </w:t>
      </w:r>
      <w:r w:rsidR="00EC272F" w:rsidRPr="00D67A74">
        <w:rPr>
          <w:b/>
        </w:rPr>
        <w:t>slight over</w:t>
      </w:r>
      <w:r w:rsidR="001061B0" w:rsidRPr="00D67A74">
        <w:rPr>
          <w:b/>
        </w:rPr>
        <w:t>weight</w:t>
      </w:r>
      <w:r w:rsidR="001061B0">
        <w:t xml:space="preserve"> </w:t>
      </w:r>
      <w:r w:rsidR="009A4073" w:rsidRPr="006B1BDB">
        <w:rPr>
          <w:b/>
        </w:rPr>
        <w:t>“</w:t>
      </w:r>
      <w:r w:rsidR="001061B0">
        <w:rPr>
          <w:b/>
        </w:rPr>
        <w:t>value</w:t>
      </w:r>
      <w:r w:rsidR="009A4073" w:rsidRPr="006B1BDB">
        <w:rPr>
          <w:b/>
        </w:rPr>
        <w:t>” stocks relative to “</w:t>
      </w:r>
      <w:r w:rsidR="001061B0">
        <w:rPr>
          <w:b/>
        </w:rPr>
        <w:t>growth</w:t>
      </w:r>
      <w:r w:rsidR="002B4979" w:rsidRPr="006B1BDB">
        <w:rPr>
          <w:b/>
        </w:rPr>
        <w:t>” stocks</w:t>
      </w:r>
      <w:r w:rsidR="002B4979" w:rsidRPr="00816062">
        <w:t>.</w:t>
      </w:r>
      <w:r w:rsidR="00215212" w:rsidRPr="00816062">
        <w:t xml:space="preserve"> </w:t>
      </w:r>
    </w:p>
    <w:p w:rsidR="00CD0A66" w:rsidRPr="00816062" w:rsidRDefault="00CD0A66" w:rsidP="00CD0A66">
      <w:pPr>
        <w:ind w:left="360"/>
      </w:pPr>
    </w:p>
    <w:p w:rsidR="00CD0A66" w:rsidRPr="00816062" w:rsidRDefault="00CD0A66" w:rsidP="00AB6B1B">
      <w:pPr>
        <w:numPr>
          <w:ilvl w:val="0"/>
          <w:numId w:val="6"/>
        </w:numPr>
      </w:pPr>
      <w:r w:rsidRPr="00816062">
        <w:t xml:space="preserve">We </w:t>
      </w:r>
      <w:r w:rsidR="00E649DC" w:rsidRPr="00D67A74">
        <w:rPr>
          <w:u w:val="single"/>
        </w:rPr>
        <w:t>are now</w:t>
      </w:r>
      <w:r w:rsidR="00E649DC">
        <w:t xml:space="preserve"> </w:t>
      </w:r>
      <w:r w:rsidR="00E649DC" w:rsidRPr="00D67A74">
        <w:rPr>
          <w:b/>
        </w:rPr>
        <w:t>neutral</w:t>
      </w:r>
      <w:r w:rsidR="00E649DC">
        <w:t xml:space="preserve"> “</w:t>
      </w:r>
      <w:r w:rsidR="001C34F5" w:rsidRPr="006B1BDB">
        <w:rPr>
          <w:b/>
        </w:rPr>
        <w:t>mid</w:t>
      </w:r>
      <w:r w:rsidR="003A0020" w:rsidRPr="006B1BDB">
        <w:rPr>
          <w:b/>
        </w:rPr>
        <w:t>/large</w:t>
      </w:r>
      <w:r w:rsidR="002B4979" w:rsidRPr="006B1BDB">
        <w:rPr>
          <w:b/>
        </w:rPr>
        <w:t>” capitalization stocks relative to “small” capitalization stocks</w:t>
      </w:r>
      <w:r w:rsidR="002B4979" w:rsidRPr="00816062">
        <w:t>.</w:t>
      </w:r>
      <w:r w:rsidR="007D3C8A">
        <w:t xml:space="preserve"> </w:t>
      </w:r>
    </w:p>
    <w:p w:rsidR="00AB6B1B" w:rsidRPr="00816062" w:rsidRDefault="002B4979" w:rsidP="00CD0A66">
      <w:pPr>
        <w:ind w:left="360"/>
      </w:pPr>
      <w:r w:rsidRPr="00816062">
        <w:t xml:space="preserve">  </w:t>
      </w:r>
    </w:p>
    <w:p w:rsidR="00CD0A66" w:rsidRPr="00816062" w:rsidRDefault="005E73B3" w:rsidP="00AB6B1B">
      <w:pPr>
        <w:numPr>
          <w:ilvl w:val="0"/>
          <w:numId w:val="6"/>
        </w:numPr>
      </w:pPr>
      <w:r>
        <w:t xml:space="preserve">We </w:t>
      </w:r>
      <w:r w:rsidR="00E649DC" w:rsidRPr="00D67A74">
        <w:rPr>
          <w:u w:val="single"/>
        </w:rPr>
        <w:t>are now</w:t>
      </w:r>
      <w:r w:rsidR="00E649DC">
        <w:t xml:space="preserve"> </w:t>
      </w:r>
      <w:r w:rsidR="00E649DC" w:rsidRPr="00D67A74">
        <w:rPr>
          <w:b/>
        </w:rPr>
        <w:t>neutral</w:t>
      </w:r>
      <w:r w:rsidR="00E649DC">
        <w:t xml:space="preserve"> </w:t>
      </w:r>
      <w:r w:rsidR="00215212" w:rsidRPr="006B1BDB">
        <w:rPr>
          <w:b/>
        </w:rPr>
        <w:t>inter</w:t>
      </w:r>
      <w:r w:rsidR="00AF06A0" w:rsidRPr="006B1BDB">
        <w:rPr>
          <w:b/>
        </w:rPr>
        <w:t>national s</w:t>
      </w:r>
      <w:r w:rsidR="0083528B" w:rsidRPr="006B1BDB">
        <w:rPr>
          <w:b/>
        </w:rPr>
        <w:t>tocks relative to domestic stocks</w:t>
      </w:r>
      <w:r w:rsidR="0083528B" w:rsidRPr="00816062">
        <w:t>.</w:t>
      </w:r>
      <w:r w:rsidR="00A15204">
        <w:t xml:space="preserve">   </w:t>
      </w:r>
    </w:p>
    <w:p w:rsidR="00CD0A66" w:rsidRPr="00816062" w:rsidRDefault="00CD0A66" w:rsidP="00CD0A66">
      <w:pPr>
        <w:ind w:left="360"/>
      </w:pPr>
    </w:p>
    <w:p w:rsidR="00AB6B1B" w:rsidRPr="00816062" w:rsidRDefault="008D120B" w:rsidP="00AB6B1B">
      <w:pPr>
        <w:numPr>
          <w:ilvl w:val="0"/>
          <w:numId w:val="6"/>
        </w:numPr>
      </w:pPr>
      <w:r>
        <w:t xml:space="preserve">We </w:t>
      </w:r>
      <w:r w:rsidR="00B43925">
        <w:t>maintain our</w:t>
      </w:r>
      <w:r w:rsidR="00CD0A66" w:rsidRPr="00816062">
        <w:t xml:space="preserve"> </w:t>
      </w:r>
      <w:r w:rsidR="00B43925">
        <w:t xml:space="preserve">overweight to </w:t>
      </w:r>
      <w:r w:rsidR="0083528B" w:rsidRPr="006B1BDB">
        <w:rPr>
          <w:b/>
          <w:u w:val="single"/>
        </w:rPr>
        <w:t>shorter maturity/duration</w:t>
      </w:r>
      <w:r w:rsidR="0083528B" w:rsidRPr="006B1BDB">
        <w:rPr>
          <w:b/>
        </w:rPr>
        <w:t xml:space="preserve"> fixed-income vehicles</w:t>
      </w:r>
      <w:r w:rsidR="007753C6">
        <w:t>, while focusing on high-grade corporate bonds</w:t>
      </w:r>
      <w:r w:rsidR="00B43925">
        <w:t xml:space="preserve"> and FDIC insured certificates of deposit</w:t>
      </w:r>
      <w:r w:rsidR="007753C6">
        <w:t xml:space="preserve">.  </w:t>
      </w:r>
    </w:p>
    <w:p w:rsidR="00CD0A66" w:rsidRPr="00816062" w:rsidRDefault="00CD0A66" w:rsidP="00CD0A66">
      <w:pPr>
        <w:ind w:left="360"/>
      </w:pPr>
    </w:p>
    <w:p w:rsidR="0084044E" w:rsidRDefault="0084044E" w:rsidP="00FA26EA">
      <w:pPr>
        <w:numPr>
          <w:ilvl w:val="0"/>
          <w:numId w:val="6"/>
        </w:numPr>
      </w:pPr>
      <w:r>
        <w:t>A few of our “niche” type investments include:</w:t>
      </w:r>
    </w:p>
    <w:p w:rsidR="0084044E" w:rsidRDefault="0084044E" w:rsidP="0084044E"/>
    <w:p w:rsidR="009550BA" w:rsidRDefault="0083528B" w:rsidP="009550BA">
      <w:pPr>
        <w:numPr>
          <w:ilvl w:val="1"/>
          <w:numId w:val="6"/>
        </w:numPr>
      </w:pPr>
      <w:r w:rsidRPr="00CB089A">
        <w:rPr>
          <w:u w:val="single"/>
        </w:rPr>
        <w:t>Treasury Inflation Protected Bonds</w:t>
      </w:r>
      <w:r w:rsidR="00FE0E63" w:rsidRPr="00CB089A">
        <w:rPr>
          <w:u w:val="single"/>
        </w:rPr>
        <w:t xml:space="preserve"> (TIPS</w:t>
      </w:r>
      <w:r w:rsidR="00FE0E63" w:rsidRPr="00816062">
        <w:t>)</w:t>
      </w:r>
      <w:r w:rsidR="001005B2" w:rsidRPr="00816062">
        <w:t xml:space="preserve"> </w:t>
      </w:r>
      <w:r w:rsidR="00CB089A">
        <w:t xml:space="preserve">– </w:t>
      </w:r>
      <w:r w:rsidR="00A04E08">
        <w:t xml:space="preserve">Inflation continues to remain low in today’s environment.  However, </w:t>
      </w:r>
      <w:r w:rsidR="00CB089A">
        <w:t xml:space="preserve">our </w:t>
      </w:r>
      <w:r w:rsidR="00BD359E">
        <w:t>expectations</w:t>
      </w:r>
      <w:r w:rsidR="00364E3F">
        <w:t xml:space="preserve"> </w:t>
      </w:r>
      <w:r w:rsidR="00A04E08">
        <w:t xml:space="preserve">remain that </w:t>
      </w:r>
      <w:r w:rsidR="00364E3F">
        <w:t>inflation</w:t>
      </w:r>
      <w:r w:rsidR="00A21536">
        <w:t xml:space="preserve"> will increase in the long-</w:t>
      </w:r>
      <w:r w:rsidR="00A04E08">
        <w:t>run</w:t>
      </w:r>
      <w:r w:rsidR="00A21536">
        <w:t xml:space="preserve"> mainly </w:t>
      </w:r>
      <w:r w:rsidR="007658FB">
        <w:t>due to</w:t>
      </w:r>
      <w:r w:rsidR="00A21536">
        <w:t xml:space="preserve"> the government’s numerous bailout packages.  </w:t>
      </w:r>
    </w:p>
    <w:p w:rsidR="0084044E" w:rsidRDefault="0084044E" w:rsidP="0084044E">
      <w:pPr>
        <w:ind w:left="1080"/>
      </w:pPr>
    </w:p>
    <w:p w:rsidR="0084044E" w:rsidRDefault="0084044E" w:rsidP="0084044E">
      <w:pPr>
        <w:numPr>
          <w:ilvl w:val="1"/>
          <w:numId w:val="6"/>
        </w:numPr>
      </w:pPr>
      <w:r w:rsidRPr="00CB089A">
        <w:rPr>
          <w:u w:val="single"/>
        </w:rPr>
        <w:t>A</w:t>
      </w:r>
      <w:r w:rsidR="0083528B" w:rsidRPr="00CB089A">
        <w:rPr>
          <w:u w:val="single"/>
        </w:rPr>
        <w:t xml:space="preserve">n exchange-traded fund </w:t>
      </w:r>
      <w:r w:rsidR="00FE0E63" w:rsidRPr="00CB089A">
        <w:rPr>
          <w:u w:val="single"/>
        </w:rPr>
        <w:t xml:space="preserve">(ETF) </w:t>
      </w:r>
      <w:r w:rsidR="0083528B" w:rsidRPr="00CB089A">
        <w:rPr>
          <w:u w:val="single"/>
        </w:rPr>
        <w:t>that invests i</w:t>
      </w:r>
      <w:r w:rsidR="00CB089A" w:rsidRPr="00CB089A">
        <w:rPr>
          <w:u w:val="single"/>
        </w:rPr>
        <w:t>n developing “clean technology</w:t>
      </w:r>
      <w:r w:rsidR="00CB089A" w:rsidRPr="00034754">
        <w:rPr>
          <w:u w:val="single"/>
        </w:rPr>
        <w:t>”</w:t>
      </w:r>
      <w:r w:rsidR="00A2313D">
        <w:t>.</w:t>
      </w:r>
    </w:p>
    <w:p w:rsidR="0084044E" w:rsidRDefault="0084044E" w:rsidP="0084044E"/>
    <w:p w:rsidR="0084044E" w:rsidRDefault="0084044E" w:rsidP="0084044E">
      <w:pPr>
        <w:numPr>
          <w:ilvl w:val="1"/>
          <w:numId w:val="6"/>
        </w:numPr>
      </w:pPr>
      <w:r w:rsidRPr="00CB089A">
        <w:rPr>
          <w:u w:val="single"/>
        </w:rPr>
        <w:t>A</w:t>
      </w:r>
      <w:r w:rsidR="00CD0A66" w:rsidRPr="00CB089A">
        <w:rPr>
          <w:u w:val="single"/>
        </w:rPr>
        <w:t xml:space="preserve"> hedged </w:t>
      </w:r>
      <w:r w:rsidR="0010093C" w:rsidRPr="00CB089A">
        <w:rPr>
          <w:u w:val="single"/>
        </w:rPr>
        <w:t>curren</w:t>
      </w:r>
      <w:r w:rsidR="00CB089A" w:rsidRPr="00CB089A">
        <w:rPr>
          <w:u w:val="single"/>
        </w:rPr>
        <w:t>cy international fund</w:t>
      </w:r>
      <w:r w:rsidR="00CB089A">
        <w:t xml:space="preserve"> </w:t>
      </w:r>
      <w:r w:rsidR="00F25052">
        <w:t>–</w:t>
      </w:r>
      <w:r w:rsidR="001C7214">
        <w:t xml:space="preserve"> This international equity fund hedges its foreign currency exposure, w</w:t>
      </w:r>
      <w:r w:rsidR="002806DC">
        <w:t xml:space="preserve">here appropriate, </w:t>
      </w:r>
      <w:r w:rsidR="001C7214">
        <w:t xml:space="preserve">back </w:t>
      </w:r>
      <w:r w:rsidR="002806DC">
        <w:t xml:space="preserve">into </w:t>
      </w:r>
      <w:r w:rsidR="003364F8">
        <w:t>the U.S. dollar in o</w:t>
      </w:r>
      <w:r w:rsidR="001C34F5">
        <w:t>rder to reduce portfolio volatility</w:t>
      </w:r>
      <w:r w:rsidR="003364F8">
        <w:t xml:space="preserve"> due to currency fluctuations.  </w:t>
      </w:r>
    </w:p>
    <w:p w:rsidR="0084044E" w:rsidRDefault="0084044E" w:rsidP="0084044E"/>
    <w:p w:rsidR="0064653A" w:rsidRDefault="0084044E" w:rsidP="00396DD9">
      <w:pPr>
        <w:numPr>
          <w:ilvl w:val="1"/>
          <w:numId w:val="6"/>
        </w:numPr>
      </w:pPr>
      <w:r w:rsidRPr="00CB089A">
        <w:rPr>
          <w:u w:val="single"/>
        </w:rPr>
        <w:t>A</w:t>
      </w:r>
      <w:r w:rsidR="00CB089A" w:rsidRPr="00CB089A">
        <w:rPr>
          <w:u w:val="single"/>
        </w:rPr>
        <w:t xml:space="preserve"> Gold ETF</w:t>
      </w:r>
      <w:r w:rsidR="00CB089A">
        <w:t xml:space="preserve"> </w:t>
      </w:r>
      <w:r w:rsidR="00A21536">
        <w:t>–</w:t>
      </w:r>
      <w:r w:rsidR="00CB089A">
        <w:t xml:space="preserve"> </w:t>
      </w:r>
      <w:r w:rsidR="00A21536">
        <w:t xml:space="preserve">Our belief is inflation will begin to </w:t>
      </w:r>
      <w:proofErr w:type="gramStart"/>
      <w:r w:rsidR="00A21536">
        <w:t>rise</w:t>
      </w:r>
      <w:proofErr w:type="gramEnd"/>
      <w:r w:rsidR="00A21536">
        <w:t xml:space="preserve"> in the long-run and investors will re-exam</w:t>
      </w:r>
      <w:r w:rsidR="007658FB">
        <w:t>ine commodities</w:t>
      </w:r>
      <w:r w:rsidR="00A2313D">
        <w:t>,</w:t>
      </w:r>
      <w:r w:rsidR="007658FB">
        <w:t xml:space="preserve"> in particular</w:t>
      </w:r>
      <w:r w:rsidR="00A21536">
        <w:t xml:space="preserve"> gold</w:t>
      </w:r>
      <w:r w:rsidR="00BA70C9">
        <w:t>,</w:t>
      </w:r>
      <w:r w:rsidR="00A21536">
        <w:t xml:space="preserve"> as a safe-haven investment. </w:t>
      </w:r>
    </w:p>
    <w:p w:rsidR="00396DD9" w:rsidRDefault="00396DD9" w:rsidP="00396DD9">
      <w:pPr>
        <w:ind w:left="1440"/>
        <w:rPr>
          <w:u w:val="single"/>
        </w:rPr>
      </w:pPr>
    </w:p>
    <w:p w:rsidR="0018138D" w:rsidRPr="004415DC" w:rsidRDefault="00004CE7" w:rsidP="004415DC">
      <w:pPr>
        <w:numPr>
          <w:ilvl w:val="1"/>
          <w:numId w:val="6"/>
        </w:numPr>
        <w:rPr>
          <w:u w:val="single"/>
        </w:rPr>
      </w:pPr>
      <w:r>
        <w:rPr>
          <w:u w:val="single"/>
        </w:rPr>
        <w:t xml:space="preserve">A Financial Services ETF – </w:t>
      </w:r>
      <w:r>
        <w:t>We believe that financial institution</w:t>
      </w:r>
      <w:r w:rsidR="007658FB">
        <w:t>s</w:t>
      </w:r>
      <w:r>
        <w:t xml:space="preserve"> will ultimately lead us out of this recession and have thus al</w:t>
      </w:r>
      <w:r w:rsidR="0018138D">
        <w:t xml:space="preserve">located a portion to this niche </w:t>
      </w:r>
      <w:r>
        <w:t xml:space="preserve">segment.  </w:t>
      </w:r>
    </w:p>
    <w:p w:rsidR="002131CF" w:rsidRDefault="002131CF" w:rsidP="0018138D">
      <w:pPr>
        <w:pStyle w:val="ListParagraph"/>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96"/>
        <w:gridCol w:w="5796"/>
      </w:tblGrid>
      <w:tr w:rsidR="0018138D" w:rsidTr="002131CF">
        <w:tc>
          <w:tcPr>
            <w:tcW w:w="5796" w:type="dxa"/>
          </w:tcPr>
          <w:p w:rsidR="0018138D" w:rsidRPr="002131CF" w:rsidRDefault="0018138D" w:rsidP="0018138D">
            <w:pPr>
              <w:rPr>
                <w:b/>
              </w:rPr>
            </w:pPr>
            <w:r w:rsidRPr="002131CF">
              <w:rPr>
                <w:b/>
              </w:rPr>
              <w:t xml:space="preserve">Matthew A. </w:t>
            </w:r>
            <w:proofErr w:type="spellStart"/>
            <w:r w:rsidRPr="002131CF">
              <w:rPr>
                <w:b/>
              </w:rPr>
              <w:t>Yanni</w:t>
            </w:r>
            <w:proofErr w:type="spellEnd"/>
            <w:r w:rsidRPr="002131CF">
              <w:rPr>
                <w:b/>
              </w:rPr>
              <w:t>, CFA, CFP®</w:t>
            </w:r>
          </w:p>
        </w:tc>
        <w:tc>
          <w:tcPr>
            <w:tcW w:w="5796" w:type="dxa"/>
          </w:tcPr>
          <w:p w:rsidR="0018138D" w:rsidRPr="002131CF" w:rsidRDefault="0018138D" w:rsidP="0018138D">
            <w:pPr>
              <w:rPr>
                <w:b/>
              </w:rPr>
            </w:pPr>
          </w:p>
        </w:tc>
      </w:tr>
      <w:tr w:rsidR="0018138D" w:rsidTr="002131CF">
        <w:tc>
          <w:tcPr>
            <w:tcW w:w="5796" w:type="dxa"/>
          </w:tcPr>
          <w:p w:rsidR="0018138D" w:rsidRPr="002131CF" w:rsidRDefault="0018138D" w:rsidP="0018138D">
            <w:pPr>
              <w:rPr>
                <w:b/>
              </w:rPr>
            </w:pPr>
            <w:r w:rsidRPr="002131CF">
              <w:rPr>
                <w:b/>
              </w:rPr>
              <w:t>Principal &amp; Chief Compliance Officer</w:t>
            </w:r>
          </w:p>
        </w:tc>
        <w:tc>
          <w:tcPr>
            <w:tcW w:w="5796" w:type="dxa"/>
          </w:tcPr>
          <w:p w:rsidR="0018138D" w:rsidRPr="002131CF" w:rsidRDefault="0018138D" w:rsidP="0018138D">
            <w:pPr>
              <w:jc w:val="right"/>
              <w:rPr>
                <w:b/>
              </w:rPr>
            </w:pPr>
            <w:r w:rsidRPr="002131CF">
              <w:rPr>
                <w:b/>
              </w:rPr>
              <w:t>office – (724) 940-0310</w:t>
            </w:r>
          </w:p>
        </w:tc>
      </w:tr>
      <w:tr w:rsidR="0018138D" w:rsidTr="002131CF">
        <w:tc>
          <w:tcPr>
            <w:tcW w:w="5796" w:type="dxa"/>
          </w:tcPr>
          <w:p w:rsidR="0018138D" w:rsidRPr="002131CF" w:rsidRDefault="0018138D" w:rsidP="0018138D">
            <w:pPr>
              <w:rPr>
                <w:b/>
              </w:rPr>
            </w:pPr>
            <w:proofErr w:type="spellStart"/>
            <w:r w:rsidRPr="002131CF">
              <w:rPr>
                <w:b/>
              </w:rPr>
              <w:t>Yanni</w:t>
            </w:r>
            <w:proofErr w:type="spellEnd"/>
            <w:r w:rsidRPr="002131CF">
              <w:rPr>
                <w:b/>
              </w:rPr>
              <w:t xml:space="preserve"> &amp; Associates Investment Advisors, LLC</w:t>
            </w:r>
          </w:p>
        </w:tc>
        <w:tc>
          <w:tcPr>
            <w:tcW w:w="5796" w:type="dxa"/>
          </w:tcPr>
          <w:p w:rsidR="0018138D" w:rsidRPr="002131CF" w:rsidRDefault="0018138D" w:rsidP="0018138D">
            <w:pPr>
              <w:jc w:val="right"/>
              <w:rPr>
                <w:b/>
              </w:rPr>
            </w:pPr>
            <w:r w:rsidRPr="002131CF">
              <w:rPr>
                <w:b/>
              </w:rPr>
              <w:t>cell – (724) 612-5944</w:t>
            </w:r>
          </w:p>
        </w:tc>
      </w:tr>
      <w:tr w:rsidR="0018138D" w:rsidTr="002131CF">
        <w:tc>
          <w:tcPr>
            <w:tcW w:w="5796" w:type="dxa"/>
          </w:tcPr>
          <w:p w:rsidR="0018138D" w:rsidRPr="002131CF" w:rsidRDefault="0018138D" w:rsidP="0018138D">
            <w:pPr>
              <w:rPr>
                <w:b/>
              </w:rPr>
            </w:pPr>
            <w:r w:rsidRPr="002131CF">
              <w:rPr>
                <w:b/>
              </w:rPr>
              <w:t>2000 Corporate Drive, Suite 450</w:t>
            </w:r>
          </w:p>
        </w:tc>
        <w:tc>
          <w:tcPr>
            <w:tcW w:w="5796" w:type="dxa"/>
          </w:tcPr>
          <w:p w:rsidR="0018138D" w:rsidRPr="002131CF" w:rsidRDefault="0018138D" w:rsidP="0018138D">
            <w:pPr>
              <w:jc w:val="right"/>
              <w:rPr>
                <w:b/>
              </w:rPr>
            </w:pPr>
            <w:r w:rsidRPr="002131CF">
              <w:rPr>
                <w:b/>
              </w:rPr>
              <w:t>www.yanniassociates.com</w:t>
            </w:r>
          </w:p>
        </w:tc>
      </w:tr>
      <w:tr w:rsidR="0018138D" w:rsidTr="002131CF">
        <w:tc>
          <w:tcPr>
            <w:tcW w:w="5796" w:type="dxa"/>
          </w:tcPr>
          <w:p w:rsidR="0018138D" w:rsidRPr="002131CF" w:rsidRDefault="0018138D" w:rsidP="0018138D">
            <w:pPr>
              <w:rPr>
                <w:b/>
              </w:rPr>
            </w:pPr>
            <w:r w:rsidRPr="002131CF">
              <w:rPr>
                <w:b/>
              </w:rPr>
              <w:t>Wexford, PA  15090</w:t>
            </w:r>
          </w:p>
        </w:tc>
        <w:tc>
          <w:tcPr>
            <w:tcW w:w="5796" w:type="dxa"/>
          </w:tcPr>
          <w:p w:rsidR="0018138D" w:rsidRPr="002131CF" w:rsidRDefault="0018138D" w:rsidP="0018138D">
            <w:pPr>
              <w:jc w:val="right"/>
              <w:rPr>
                <w:b/>
              </w:rPr>
            </w:pPr>
            <w:r w:rsidRPr="002131CF">
              <w:rPr>
                <w:b/>
              </w:rPr>
              <w:t>matt@yanniassociates.com</w:t>
            </w:r>
          </w:p>
        </w:tc>
      </w:tr>
    </w:tbl>
    <w:p w:rsidR="0018138D" w:rsidRPr="0018138D" w:rsidRDefault="0018138D" w:rsidP="0018138D">
      <w:pPr>
        <w:rPr>
          <w:u w:val="single"/>
        </w:rPr>
      </w:pPr>
    </w:p>
    <w:sectPr w:rsidR="0018138D" w:rsidRPr="0018138D" w:rsidSect="0050287F">
      <w:pgSz w:w="12240" w:h="15840" w:code="1"/>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711"/>
    <w:multiLevelType w:val="hybridMultilevel"/>
    <w:tmpl w:val="5F8E4F2A"/>
    <w:lvl w:ilvl="0" w:tplc="AB928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8A17FF"/>
    <w:multiLevelType w:val="hybridMultilevel"/>
    <w:tmpl w:val="023636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AF7348"/>
    <w:multiLevelType w:val="hybridMultilevel"/>
    <w:tmpl w:val="6EA4111C"/>
    <w:lvl w:ilvl="0" w:tplc="5030DA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537CA6"/>
    <w:multiLevelType w:val="hybridMultilevel"/>
    <w:tmpl w:val="0D5CF5CC"/>
    <w:lvl w:ilvl="0" w:tplc="1B2CC3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E27A6"/>
    <w:multiLevelType w:val="hybridMultilevel"/>
    <w:tmpl w:val="A238D7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593B66D9"/>
    <w:multiLevelType w:val="hybridMultilevel"/>
    <w:tmpl w:val="6A4EB124"/>
    <w:lvl w:ilvl="0" w:tplc="0409000F">
      <w:start w:val="1"/>
      <w:numFmt w:val="decimal"/>
      <w:lvlText w:val="%1."/>
      <w:lvlJc w:val="left"/>
      <w:pPr>
        <w:tabs>
          <w:tab w:val="num" w:pos="720"/>
        </w:tabs>
        <w:ind w:left="720" w:hanging="360"/>
      </w:pPr>
      <w:rPr>
        <w:rFonts w:hint="default"/>
      </w:rPr>
    </w:lvl>
    <w:lvl w:ilvl="1" w:tplc="2F7E6FA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F76C01"/>
    <w:multiLevelType w:val="hybridMultilevel"/>
    <w:tmpl w:val="40B2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8468B1"/>
    <w:multiLevelType w:val="hybridMultilevel"/>
    <w:tmpl w:val="CBA619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6E5A8B"/>
    <w:multiLevelType w:val="hybridMultilevel"/>
    <w:tmpl w:val="E9F2ABDE"/>
    <w:lvl w:ilvl="0" w:tplc="CFC0AC84">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8"/>
  </w:num>
  <w:num w:numId="4">
    <w:abstractNumId w:val="6"/>
  </w:num>
  <w:num w:numId="5">
    <w:abstractNumId w:val="4"/>
  </w:num>
  <w:num w:numId="6">
    <w:abstractNumId w:val="7"/>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3693"/>
    <w:rsid w:val="00004CE7"/>
    <w:rsid w:val="00005801"/>
    <w:rsid w:val="000102FF"/>
    <w:rsid w:val="00011B50"/>
    <w:rsid w:val="00011CC2"/>
    <w:rsid w:val="00015863"/>
    <w:rsid w:val="00016252"/>
    <w:rsid w:val="00016A87"/>
    <w:rsid w:val="000177D2"/>
    <w:rsid w:val="00023EE9"/>
    <w:rsid w:val="000245D4"/>
    <w:rsid w:val="000256EE"/>
    <w:rsid w:val="00025D1C"/>
    <w:rsid w:val="00026F71"/>
    <w:rsid w:val="00033BAE"/>
    <w:rsid w:val="00034754"/>
    <w:rsid w:val="00036607"/>
    <w:rsid w:val="00047080"/>
    <w:rsid w:val="00055B16"/>
    <w:rsid w:val="00056352"/>
    <w:rsid w:val="00056878"/>
    <w:rsid w:val="00064EBB"/>
    <w:rsid w:val="00072F91"/>
    <w:rsid w:val="00073B04"/>
    <w:rsid w:val="0007663D"/>
    <w:rsid w:val="00076824"/>
    <w:rsid w:val="0008291E"/>
    <w:rsid w:val="00086E2C"/>
    <w:rsid w:val="00093AA9"/>
    <w:rsid w:val="00096667"/>
    <w:rsid w:val="000968E3"/>
    <w:rsid w:val="000A14E9"/>
    <w:rsid w:val="000A4A1B"/>
    <w:rsid w:val="000A667E"/>
    <w:rsid w:val="000B0E40"/>
    <w:rsid w:val="000B146F"/>
    <w:rsid w:val="000C5F90"/>
    <w:rsid w:val="000C6BAA"/>
    <w:rsid w:val="000C6F6A"/>
    <w:rsid w:val="000D069C"/>
    <w:rsid w:val="000F2410"/>
    <w:rsid w:val="000F34D3"/>
    <w:rsid w:val="000F7303"/>
    <w:rsid w:val="000F7B06"/>
    <w:rsid w:val="001005B2"/>
    <w:rsid w:val="0010093C"/>
    <w:rsid w:val="001061B0"/>
    <w:rsid w:val="0010780E"/>
    <w:rsid w:val="00115CCA"/>
    <w:rsid w:val="0011675B"/>
    <w:rsid w:val="001177A3"/>
    <w:rsid w:val="001205F8"/>
    <w:rsid w:val="001269C0"/>
    <w:rsid w:val="00132550"/>
    <w:rsid w:val="00136325"/>
    <w:rsid w:val="00136E1D"/>
    <w:rsid w:val="00141520"/>
    <w:rsid w:val="00145C3E"/>
    <w:rsid w:val="00147490"/>
    <w:rsid w:val="00151049"/>
    <w:rsid w:val="00152044"/>
    <w:rsid w:val="00152151"/>
    <w:rsid w:val="0015393F"/>
    <w:rsid w:val="001571F0"/>
    <w:rsid w:val="00160290"/>
    <w:rsid w:val="00161AD0"/>
    <w:rsid w:val="00163714"/>
    <w:rsid w:val="0018034D"/>
    <w:rsid w:val="0018138D"/>
    <w:rsid w:val="001835AF"/>
    <w:rsid w:val="00184600"/>
    <w:rsid w:val="00185FF2"/>
    <w:rsid w:val="001921E1"/>
    <w:rsid w:val="00192E44"/>
    <w:rsid w:val="0019331C"/>
    <w:rsid w:val="001A190D"/>
    <w:rsid w:val="001B166B"/>
    <w:rsid w:val="001B2E91"/>
    <w:rsid w:val="001B509F"/>
    <w:rsid w:val="001C2060"/>
    <w:rsid w:val="001C2428"/>
    <w:rsid w:val="001C34F5"/>
    <w:rsid w:val="001C4BE6"/>
    <w:rsid w:val="001C7214"/>
    <w:rsid w:val="001C774D"/>
    <w:rsid w:val="001D5B60"/>
    <w:rsid w:val="001D609F"/>
    <w:rsid w:val="001E0FB9"/>
    <w:rsid w:val="001E3D92"/>
    <w:rsid w:val="001E57B4"/>
    <w:rsid w:val="001E6D37"/>
    <w:rsid w:val="001F5C7D"/>
    <w:rsid w:val="00202CBF"/>
    <w:rsid w:val="002131CF"/>
    <w:rsid w:val="00214149"/>
    <w:rsid w:val="0021492F"/>
    <w:rsid w:val="00215212"/>
    <w:rsid w:val="00224512"/>
    <w:rsid w:val="0023045D"/>
    <w:rsid w:val="00232EAF"/>
    <w:rsid w:val="002415FF"/>
    <w:rsid w:val="002432DA"/>
    <w:rsid w:val="00243555"/>
    <w:rsid w:val="002513DE"/>
    <w:rsid w:val="002531A9"/>
    <w:rsid w:val="00254522"/>
    <w:rsid w:val="002560E5"/>
    <w:rsid w:val="00267087"/>
    <w:rsid w:val="00272FC9"/>
    <w:rsid w:val="002738ED"/>
    <w:rsid w:val="00275ACA"/>
    <w:rsid w:val="00275E4E"/>
    <w:rsid w:val="002806DC"/>
    <w:rsid w:val="00284860"/>
    <w:rsid w:val="002A5B69"/>
    <w:rsid w:val="002B0660"/>
    <w:rsid w:val="002B4979"/>
    <w:rsid w:val="002B563C"/>
    <w:rsid w:val="002B59FE"/>
    <w:rsid w:val="002B5DEA"/>
    <w:rsid w:val="002B60AE"/>
    <w:rsid w:val="002C0D8A"/>
    <w:rsid w:val="002C0E78"/>
    <w:rsid w:val="002C5F2A"/>
    <w:rsid w:val="002C603F"/>
    <w:rsid w:val="002C7200"/>
    <w:rsid w:val="002D299B"/>
    <w:rsid w:val="002D579B"/>
    <w:rsid w:val="002D57B3"/>
    <w:rsid w:val="002E05C2"/>
    <w:rsid w:val="002E7114"/>
    <w:rsid w:val="002F40DE"/>
    <w:rsid w:val="002F4295"/>
    <w:rsid w:val="002F47FE"/>
    <w:rsid w:val="002F61C1"/>
    <w:rsid w:val="003020DD"/>
    <w:rsid w:val="00303F83"/>
    <w:rsid w:val="003062E7"/>
    <w:rsid w:val="0030769D"/>
    <w:rsid w:val="00312CC6"/>
    <w:rsid w:val="00315C0E"/>
    <w:rsid w:val="00315CAA"/>
    <w:rsid w:val="00317AF5"/>
    <w:rsid w:val="00320FC0"/>
    <w:rsid w:val="0032193C"/>
    <w:rsid w:val="00322EBB"/>
    <w:rsid w:val="0032393C"/>
    <w:rsid w:val="003243CA"/>
    <w:rsid w:val="00325230"/>
    <w:rsid w:val="00327E0D"/>
    <w:rsid w:val="00333E1B"/>
    <w:rsid w:val="00334A9C"/>
    <w:rsid w:val="003364F8"/>
    <w:rsid w:val="0034150B"/>
    <w:rsid w:val="00342417"/>
    <w:rsid w:val="00344B53"/>
    <w:rsid w:val="00352F96"/>
    <w:rsid w:val="0035390B"/>
    <w:rsid w:val="00364E3F"/>
    <w:rsid w:val="00370ABB"/>
    <w:rsid w:val="0037605F"/>
    <w:rsid w:val="003873B7"/>
    <w:rsid w:val="00396DD9"/>
    <w:rsid w:val="003A0020"/>
    <w:rsid w:val="003A6B4B"/>
    <w:rsid w:val="003A7025"/>
    <w:rsid w:val="003A7D9B"/>
    <w:rsid w:val="003B19C2"/>
    <w:rsid w:val="003B459D"/>
    <w:rsid w:val="003B5707"/>
    <w:rsid w:val="003B59F0"/>
    <w:rsid w:val="003C2B88"/>
    <w:rsid w:val="003C3BEC"/>
    <w:rsid w:val="003C719F"/>
    <w:rsid w:val="003D3C2A"/>
    <w:rsid w:val="003E2AA1"/>
    <w:rsid w:val="003F733B"/>
    <w:rsid w:val="003F7566"/>
    <w:rsid w:val="00401518"/>
    <w:rsid w:val="00402BBE"/>
    <w:rsid w:val="00407AFE"/>
    <w:rsid w:val="00414B8D"/>
    <w:rsid w:val="004177C6"/>
    <w:rsid w:val="00417892"/>
    <w:rsid w:val="00423F4B"/>
    <w:rsid w:val="004415DC"/>
    <w:rsid w:val="00441885"/>
    <w:rsid w:val="00442201"/>
    <w:rsid w:val="00450993"/>
    <w:rsid w:val="0045445A"/>
    <w:rsid w:val="0045749D"/>
    <w:rsid w:val="00461BD0"/>
    <w:rsid w:val="004635AE"/>
    <w:rsid w:val="004638DC"/>
    <w:rsid w:val="004665AF"/>
    <w:rsid w:val="00472A25"/>
    <w:rsid w:val="00473EBB"/>
    <w:rsid w:val="00474B2C"/>
    <w:rsid w:val="00475A1A"/>
    <w:rsid w:val="00481D1C"/>
    <w:rsid w:val="004822D1"/>
    <w:rsid w:val="00487106"/>
    <w:rsid w:val="00487B0F"/>
    <w:rsid w:val="004928AB"/>
    <w:rsid w:val="00494C75"/>
    <w:rsid w:val="004A4D8B"/>
    <w:rsid w:val="004A55B8"/>
    <w:rsid w:val="004A6043"/>
    <w:rsid w:val="004B027E"/>
    <w:rsid w:val="004B399E"/>
    <w:rsid w:val="004C316C"/>
    <w:rsid w:val="004C631F"/>
    <w:rsid w:val="004C6BD7"/>
    <w:rsid w:val="004D1863"/>
    <w:rsid w:val="004D393D"/>
    <w:rsid w:val="004D70B7"/>
    <w:rsid w:val="004E0FA6"/>
    <w:rsid w:val="004E1EA9"/>
    <w:rsid w:val="004E62DA"/>
    <w:rsid w:val="004E72B9"/>
    <w:rsid w:val="004F6848"/>
    <w:rsid w:val="005008B6"/>
    <w:rsid w:val="00501A72"/>
    <w:rsid w:val="0050287F"/>
    <w:rsid w:val="00503EFA"/>
    <w:rsid w:val="0050609E"/>
    <w:rsid w:val="00517CA9"/>
    <w:rsid w:val="005263E0"/>
    <w:rsid w:val="005266A2"/>
    <w:rsid w:val="005307CF"/>
    <w:rsid w:val="00532691"/>
    <w:rsid w:val="00533677"/>
    <w:rsid w:val="00536A0E"/>
    <w:rsid w:val="00537239"/>
    <w:rsid w:val="00540CA6"/>
    <w:rsid w:val="005436C5"/>
    <w:rsid w:val="0054527D"/>
    <w:rsid w:val="00553451"/>
    <w:rsid w:val="00553D1A"/>
    <w:rsid w:val="005701EF"/>
    <w:rsid w:val="00571478"/>
    <w:rsid w:val="00571754"/>
    <w:rsid w:val="00571BF6"/>
    <w:rsid w:val="00573A6B"/>
    <w:rsid w:val="00575006"/>
    <w:rsid w:val="005816DA"/>
    <w:rsid w:val="00591670"/>
    <w:rsid w:val="00592F2F"/>
    <w:rsid w:val="00595BF3"/>
    <w:rsid w:val="005961A9"/>
    <w:rsid w:val="00597448"/>
    <w:rsid w:val="005A0974"/>
    <w:rsid w:val="005A7147"/>
    <w:rsid w:val="005B5675"/>
    <w:rsid w:val="005C00FE"/>
    <w:rsid w:val="005C1EBA"/>
    <w:rsid w:val="005C77A3"/>
    <w:rsid w:val="005E2B12"/>
    <w:rsid w:val="005E73B3"/>
    <w:rsid w:val="005E7A2E"/>
    <w:rsid w:val="005F0721"/>
    <w:rsid w:val="005F256E"/>
    <w:rsid w:val="005F2DB0"/>
    <w:rsid w:val="005F46C6"/>
    <w:rsid w:val="005F4E7A"/>
    <w:rsid w:val="005F6C38"/>
    <w:rsid w:val="00600804"/>
    <w:rsid w:val="006023CC"/>
    <w:rsid w:val="006063B9"/>
    <w:rsid w:val="006072D4"/>
    <w:rsid w:val="00611CFE"/>
    <w:rsid w:val="00612DF9"/>
    <w:rsid w:val="006131BE"/>
    <w:rsid w:val="006155C4"/>
    <w:rsid w:val="006159C9"/>
    <w:rsid w:val="00617A21"/>
    <w:rsid w:val="00623F0B"/>
    <w:rsid w:val="0062594B"/>
    <w:rsid w:val="0063134C"/>
    <w:rsid w:val="00635BEE"/>
    <w:rsid w:val="0064653A"/>
    <w:rsid w:val="0064696A"/>
    <w:rsid w:val="006510DF"/>
    <w:rsid w:val="00653531"/>
    <w:rsid w:val="00653979"/>
    <w:rsid w:val="006604D6"/>
    <w:rsid w:val="006713F8"/>
    <w:rsid w:val="0067141F"/>
    <w:rsid w:val="00674C62"/>
    <w:rsid w:val="00687780"/>
    <w:rsid w:val="0069571E"/>
    <w:rsid w:val="006A1165"/>
    <w:rsid w:val="006A292A"/>
    <w:rsid w:val="006A3F9E"/>
    <w:rsid w:val="006A59BA"/>
    <w:rsid w:val="006A5B00"/>
    <w:rsid w:val="006B1BDB"/>
    <w:rsid w:val="006B2CA2"/>
    <w:rsid w:val="006B61D1"/>
    <w:rsid w:val="006C0ADC"/>
    <w:rsid w:val="006C22BF"/>
    <w:rsid w:val="006C281D"/>
    <w:rsid w:val="006D13D5"/>
    <w:rsid w:val="006D14CB"/>
    <w:rsid w:val="006E29C6"/>
    <w:rsid w:val="006E3B29"/>
    <w:rsid w:val="006E54CC"/>
    <w:rsid w:val="006F27E2"/>
    <w:rsid w:val="0070685C"/>
    <w:rsid w:val="00706EC4"/>
    <w:rsid w:val="00711058"/>
    <w:rsid w:val="00714539"/>
    <w:rsid w:val="00714AA0"/>
    <w:rsid w:val="0071529B"/>
    <w:rsid w:val="00716DDD"/>
    <w:rsid w:val="00722BFF"/>
    <w:rsid w:val="00734D70"/>
    <w:rsid w:val="00736C55"/>
    <w:rsid w:val="00741E1D"/>
    <w:rsid w:val="00747F3C"/>
    <w:rsid w:val="007501F2"/>
    <w:rsid w:val="0075544F"/>
    <w:rsid w:val="0076523E"/>
    <w:rsid w:val="007653A8"/>
    <w:rsid w:val="007658FB"/>
    <w:rsid w:val="00770C79"/>
    <w:rsid w:val="007753C6"/>
    <w:rsid w:val="0077570F"/>
    <w:rsid w:val="00783583"/>
    <w:rsid w:val="00787E0B"/>
    <w:rsid w:val="007923C2"/>
    <w:rsid w:val="00794BAD"/>
    <w:rsid w:val="007A3301"/>
    <w:rsid w:val="007A3312"/>
    <w:rsid w:val="007A4F70"/>
    <w:rsid w:val="007B1AD0"/>
    <w:rsid w:val="007B207D"/>
    <w:rsid w:val="007B27D5"/>
    <w:rsid w:val="007B3ED9"/>
    <w:rsid w:val="007B663B"/>
    <w:rsid w:val="007C5F0E"/>
    <w:rsid w:val="007C6F20"/>
    <w:rsid w:val="007C7320"/>
    <w:rsid w:val="007D177B"/>
    <w:rsid w:val="007D1EF7"/>
    <w:rsid w:val="007D3C8A"/>
    <w:rsid w:val="007E1452"/>
    <w:rsid w:val="007E44B1"/>
    <w:rsid w:val="007E4893"/>
    <w:rsid w:val="007F2061"/>
    <w:rsid w:val="007F2932"/>
    <w:rsid w:val="007F2B78"/>
    <w:rsid w:val="007F4B8B"/>
    <w:rsid w:val="007F71DF"/>
    <w:rsid w:val="00804260"/>
    <w:rsid w:val="00805637"/>
    <w:rsid w:val="00805E24"/>
    <w:rsid w:val="00807EFF"/>
    <w:rsid w:val="00810807"/>
    <w:rsid w:val="00810A2B"/>
    <w:rsid w:val="00810BCE"/>
    <w:rsid w:val="00811F7F"/>
    <w:rsid w:val="008138CA"/>
    <w:rsid w:val="00816062"/>
    <w:rsid w:val="00821212"/>
    <w:rsid w:val="008260FC"/>
    <w:rsid w:val="0083087A"/>
    <w:rsid w:val="008310D7"/>
    <w:rsid w:val="00833A11"/>
    <w:rsid w:val="008346AD"/>
    <w:rsid w:val="008347B4"/>
    <w:rsid w:val="0083528B"/>
    <w:rsid w:val="00835700"/>
    <w:rsid w:val="00837F2F"/>
    <w:rsid w:val="0084044E"/>
    <w:rsid w:val="00842CF4"/>
    <w:rsid w:val="00843308"/>
    <w:rsid w:val="00852D7E"/>
    <w:rsid w:val="0085423E"/>
    <w:rsid w:val="0085633A"/>
    <w:rsid w:val="00860344"/>
    <w:rsid w:val="008613D3"/>
    <w:rsid w:val="00875741"/>
    <w:rsid w:val="008764A0"/>
    <w:rsid w:val="00876FD2"/>
    <w:rsid w:val="00887736"/>
    <w:rsid w:val="00890FD6"/>
    <w:rsid w:val="0089284E"/>
    <w:rsid w:val="00893C56"/>
    <w:rsid w:val="0089413B"/>
    <w:rsid w:val="00896FDD"/>
    <w:rsid w:val="008A2CF4"/>
    <w:rsid w:val="008A3C54"/>
    <w:rsid w:val="008A4AE0"/>
    <w:rsid w:val="008A6A52"/>
    <w:rsid w:val="008B1C67"/>
    <w:rsid w:val="008B62E4"/>
    <w:rsid w:val="008C6558"/>
    <w:rsid w:val="008C7E65"/>
    <w:rsid w:val="008D120B"/>
    <w:rsid w:val="008D3953"/>
    <w:rsid w:val="008D5A0D"/>
    <w:rsid w:val="008D6B8E"/>
    <w:rsid w:val="008E0E70"/>
    <w:rsid w:val="008E16A2"/>
    <w:rsid w:val="008E21E5"/>
    <w:rsid w:val="008E24E7"/>
    <w:rsid w:val="008E7A0C"/>
    <w:rsid w:val="008F1D54"/>
    <w:rsid w:val="008F2971"/>
    <w:rsid w:val="008F3A8B"/>
    <w:rsid w:val="00902C29"/>
    <w:rsid w:val="009039D1"/>
    <w:rsid w:val="009045D3"/>
    <w:rsid w:val="0091055C"/>
    <w:rsid w:val="0091107E"/>
    <w:rsid w:val="009120D1"/>
    <w:rsid w:val="0091223A"/>
    <w:rsid w:val="00914062"/>
    <w:rsid w:val="00914F2D"/>
    <w:rsid w:val="009165A7"/>
    <w:rsid w:val="009176F5"/>
    <w:rsid w:val="009211C9"/>
    <w:rsid w:val="009250CD"/>
    <w:rsid w:val="009252C4"/>
    <w:rsid w:val="009256AC"/>
    <w:rsid w:val="00930B09"/>
    <w:rsid w:val="00934C93"/>
    <w:rsid w:val="00942616"/>
    <w:rsid w:val="009436BD"/>
    <w:rsid w:val="00946D21"/>
    <w:rsid w:val="009546D0"/>
    <w:rsid w:val="009550BA"/>
    <w:rsid w:val="00956C39"/>
    <w:rsid w:val="00963261"/>
    <w:rsid w:val="00965745"/>
    <w:rsid w:val="00970E01"/>
    <w:rsid w:val="00984BC9"/>
    <w:rsid w:val="00990D80"/>
    <w:rsid w:val="00993F4C"/>
    <w:rsid w:val="009954F3"/>
    <w:rsid w:val="00995A43"/>
    <w:rsid w:val="0099624F"/>
    <w:rsid w:val="009A0323"/>
    <w:rsid w:val="009A4073"/>
    <w:rsid w:val="009A56BB"/>
    <w:rsid w:val="009A57F2"/>
    <w:rsid w:val="009B3956"/>
    <w:rsid w:val="009C2471"/>
    <w:rsid w:val="009C5F1E"/>
    <w:rsid w:val="009C7338"/>
    <w:rsid w:val="009D5785"/>
    <w:rsid w:val="009E25C7"/>
    <w:rsid w:val="009E3693"/>
    <w:rsid w:val="009E3A98"/>
    <w:rsid w:val="009F0CD6"/>
    <w:rsid w:val="009F17AF"/>
    <w:rsid w:val="009F28F6"/>
    <w:rsid w:val="009F4BCF"/>
    <w:rsid w:val="00A029B6"/>
    <w:rsid w:val="00A0375E"/>
    <w:rsid w:val="00A038E8"/>
    <w:rsid w:val="00A04E08"/>
    <w:rsid w:val="00A129B5"/>
    <w:rsid w:val="00A143D6"/>
    <w:rsid w:val="00A149B8"/>
    <w:rsid w:val="00A15204"/>
    <w:rsid w:val="00A21536"/>
    <w:rsid w:val="00A21E38"/>
    <w:rsid w:val="00A2313D"/>
    <w:rsid w:val="00A23DBF"/>
    <w:rsid w:val="00A24542"/>
    <w:rsid w:val="00A27194"/>
    <w:rsid w:val="00A30448"/>
    <w:rsid w:val="00A32BD4"/>
    <w:rsid w:val="00A332DE"/>
    <w:rsid w:val="00A33D07"/>
    <w:rsid w:val="00A46847"/>
    <w:rsid w:val="00A46AC6"/>
    <w:rsid w:val="00A478E2"/>
    <w:rsid w:val="00A50A60"/>
    <w:rsid w:val="00A71A70"/>
    <w:rsid w:val="00A84CDF"/>
    <w:rsid w:val="00A87538"/>
    <w:rsid w:val="00A90A13"/>
    <w:rsid w:val="00A91E43"/>
    <w:rsid w:val="00A91F3B"/>
    <w:rsid w:val="00A93A5D"/>
    <w:rsid w:val="00A95499"/>
    <w:rsid w:val="00A95633"/>
    <w:rsid w:val="00A961DD"/>
    <w:rsid w:val="00AA181D"/>
    <w:rsid w:val="00AA4371"/>
    <w:rsid w:val="00AB6258"/>
    <w:rsid w:val="00AB6B1B"/>
    <w:rsid w:val="00AB7409"/>
    <w:rsid w:val="00AC2080"/>
    <w:rsid w:val="00AC323D"/>
    <w:rsid w:val="00AD153F"/>
    <w:rsid w:val="00AE2C5A"/>
    <w:rsid w:val="00AF06A0"/>
    <w:rsid w:val="00AF2BC6"/>
    <w:rsid w:val="00AF55C5"/>
    <w:rsid w:val="00B03AAE"/>
    <w:rsid w:val="00B06D2F"/>
    <w:rsid w:val="00B11B34"/>
    <w:rsid w:val="00B157D6"/>
    <w:rsid w:val="00B16ABC"/>
    <w:rsid w:val="00B2112F"/>
    <w:rsid w:val="00B2220C"/>
    <w:rsid w:val="00B2290F"/>
    <w:rsid w:val="00B26692"/>
    <w:rsid w:val="00B3362B"/>
    <w:rsid w:val="00B3374C"/>
    <w:rsid w:val="00B41A42"/>
    <w:rsid w:val="00B43925"/>
    <w:rsid w:val="00B570AF"/>
    <w:rsid w:val="00B6046D"/>
    <w:rsid w:val="00B61C72"/>
    <w:rsid w:val="00B6344B"/>
    <w:rsid w:val="00B637BB"/>
    <w:rsid w:val="00B63F03"/>
    <w:rsid w:val="00B654F1"/>
    <w:rsid w:val="00B70F07"/>
    <w:rsid w:val="00B76DA5"/>
    <w:rsid w:val="00B80C18"/>
    <w:rsid w:val="00B80F43"/>
    <w:rsid w:val="00B823EA"/>
    <w:rsid w:val="00B85E0F"/>
    <w:rsid w:val="00B9358F"/>
    <w:rsid w:val="00B94B12"/>
    <w:rsid w:val="00B96D89"/>
    <w:rsid w:val="00BA3F80"/>
    <w:rsid w:val="00BA6BD7"/>
    <w:rsid w:val="00BA6FF9"/>
    <w:rsid w:val="00BA70C9"/>
    <w:rsid w:val="00BA7B27"/>
    <w:rsid w:val="00BB1152"/>
    <w:rsid w:val="00BB15D1"/>
    <w:rsid w:val="00BB26A0"/>
    <w:rsid w:val="00BB2BA7"/>
    <w:rsid w:val="00BB4E38"/>
    <w:rsid w:val="00BC1BD5"/>
    <w:rsid w:val="00BC3BA1"/>
    <w:rsid w:val="00BC46E9"/>
    <w:rsid w:val="00BC6005"/>
    <w:rsid w:val="00BC7974"/>
    <w:rsid w:val="00BD359E"/>
    <w:rsid w:val="00BE21D6"/>
    <w:rsid w:val="00BE63AA"/>
    <w:rsid w:val="00BF0275"/>
    <w:rsid w:val="00BF5A04"/>
    <w:rsid w:val="00BF78DB"/>
    <w:rsid w:val="00C0145A"/>
    <w:rsid w:val="00C043A2"/>
    <w:rsid w:val="00C04C8D"/>
    <w:rsid w:val="00C0622E"/>
    <w:rsid w:val="00C06F64"/>
    <w:rsid w:val="00C15429"/>
    <w:rsid w:val="00C228B6"/>
    <w:rsid w:val="00C35BFE"/>
    <w:rsid w:val="00C36380"/>
    <w:rsid w:val="00C378BA"/>
    <w:rsid w:val="00C42355"/>
    <w:rsid w:val="00C50E7D"/>
    <w:rsid w:val="00C53173"/>
    <w:rsid w:val="00C5677F"/>
    <w:rsid w:val="00C619CF"/>
    <w:rsid w:val="00C632F8"/>
    <w:rsid w:val="00C702B3"/>
    <w:rsid w:val="00C724B4"/>
    <w:rsid w:val="00C737A5"/>
    <w:rsid w:val="00C82C27"/>
    <w:rsid w:val="00C848AA"/>
    <w:rsid w:val="00C8743E"/>
    <w:rsid w:val="00C900CE"/>
    <w:rsid w:val="00C92B08"/>
    <w:rsid w:val="00C935AF"/>
    <w:rsid w:val="00C93DA0"/>
    <w:rsid w:val="00C9631D"/>
    <w:rsid w:val="00CA6816"/>
    <w:rsid w:val="00CB089A"/>
    <w:rsid w:val="00CC1B75"/>
    <w:rsid w:val="00CD0A66"/>
    <w:rsid w:val="00CD1D33"/>
    <w:rsid w:val="00CE2DD9"/>
    <w:rsid w:val="00CE76F3"/>
    <w:rsid w:val="00CF43C5"/>
    <w:rsid w:val="00D1093A"/>
    <w:rsid w:val="00D1178B"/>
    <w:rsid w:val="00D12AEF"/>
    <w:rsid w:val="00D16717"/>
    <w:rsid w:val="00D2036A"/>
    <w:rsid w:val="00D24BA6"/>
    <w:rsid w:val="00D25780"/>
    <w:rsid w:val="00D3011B"/>
    <w:rsid w:val="00D41391"/>
    <w:rsid w:val="00D50129"/>
    <w:rsid w:val="00D5200C"/>
    <w:rsid w:val="00D52D1F"/>
    <w:rsid w:val="00D52D4B"/>
    <w:rsid w:val="00D63701"/>
    <w:rsid w:val="00D63D97"/>
    <w:rsid w:val="00D67A74"/>
    <w:rsid w:val="00D70D72"/>
    <w:rsid w:val="00D7587B"/>
    <w:rsid w:val="00D80650"/>
    <w:rsid w:val="00D821F7"/>
    <w:rsid w:val="00D85694"/>
    <w:rsid w:val="00D858E8"/>
    <w:rsid w:val="00D86264"/>
    <w:rsid w:val="00D9795C"/>
    <w:rsid w:val="00DA4628"/>
    <w:rsid w:val="00DB4101"/>
    <w:rsid w:val="00DB4460"/>
    <w:rsid w:val="00DB592E"/>
    <w:rsid w:val="00DB754A"/>
    <w:rsid w:val="00DB7846"/>
    <w:rsid w:val="00DC7994"/>
    <w:rsid w:val="00DD2DAE"/>
    <w:rsid w:val="00DD596F"/>
    <w:rsid w:val="00DD74D5"/>
    <w:rsid w:val="00DE39F9"/>
    <w:rsid w:val="00DE4E4C"/>
    <w:rsid w:val="00DF281A"/>
    <w:rsid w:val="00DF4B47"/>
    <w:rsid w:val="00DF54FA"/>
    <w:rsid w:val="00DF6F7B"/>
    <w:rsid w:val="00E03602"/>
    <w:rsid w:val="00E074EB"/>
    <w:rsid w:val="00E12A28"/>
    <w:rsid w:val="00E22CA3"/>
    <w:rsid w:val="00E24C16"/>
    <w:rsid w:val="00E2585D"/>
    <w:rsid w:val="00E30E88"/>
    <w:rsid w:val="00E31C02"/>
    <w:rsid w:val="00E33610"/>
    <w:rsid w:val="00E40F1A"/>
    <w:rsid w:val="00E442FD"/>
    <w:rsid w:val="00E44646"/>
    <w:rsid w:val="00E50DB5"/>
    <w:rsid w:val="00E53FDD"/>
    <w:rsid w:val="00E54400"/>
    <w:rsid w:val="00E604CA"/>
    <w:rsid w:val="00E64256"/>
    <w:rsid w:val="00E649DC"/>
    <w:rsid w:val="00E87244"/>
    <w:rsid w:val="00E94DB4"/>
    <w:rsid w:val="00EA1CAC"/>
    <w:rsid w:val="00EA26C2"/>
    <w:rsid w:val="00EA3992"/>
    <w:rsid w:val="00EB0E9D"/>
    <w:rsid w:val="00EB128F"/>
    <w:rsid w:val="00EB7296"/>
    <w:rsid w:val="00EC272F"/>
    <w:rsid w:val="00EC73D8"/>
    <w:rsid w:val="00ED037F"/>
    <w:rsid w:val="00ED16FE"/>
    <w:rsid w:val="00ED3BE2"/>
    <w:rsid w:val="00ED4446"/>
    <w:rsid w:val="00ED705E"/>
    <w:rsid w:val="00ED7FFE"/>
    <w:rsid w:val="00EE6715"/>
    <w:rsid w:val="00EE6A27"/>
    <w:rsid w:val="00F03390"/>
    <w:rsid w:val="00F06BBD"/>
    <w:rsid w:val="00F179BD"/>
    <w:rsid w:val="00F201D3"/>
    <w:rsid w:val="00F248E3"/>
    <w:rsid w:val="00F25052"/>
    <w:rsid w:val="00F250E6"/>
    <w:rsid w:val="00F25611"/>
    <w:rsid w:val="00F31DBD"/>
    <w:rsid w:val="00F356AC"/>
    <w:rsid w:val="00F372EC"/>
    <w:rsid w:val="00F43629"/>
    <w:rsid w:val="00F44C25"/>
    <w:rsid w:val="00F5691A"/>
    <w:rsid w:val="00F6146B"/>
    <w:rsid w:val="00F74664"/>
    <w:rsid w:val="00F755C4"/>
    <w:rsid w:val="00F762D5"/>
    <w:rsid w:val="00F80B55"/>
    <w:rsid w:val="00F810BE"/>
    <w:rsid w:val="00F936C1"/>
    <w:rsid w:val="00F94DA1"/>
    <w:rsid w:val="00F96F0D"/>
    <w:rsid w:val="00FA14CA"/>
    <w:rsid w:val="00FA26EA"/>
    <w:rsid w:val="00FB2883"/>
    <w:rsid w:val="00FB679C"/>
    <w:rsid w:val="00FC093B"/>
    <w:rsid w:val="00FD2D15"/>
    <w:rsid w:val="00FD2D1B"/>
    <w:rsid w:val="00FD64F2"/>
    <w:rsid w:val="00FE0E63"/>
    <w:rsid w:val="00FE5DBD"/>
    <w:rsid w:val="00FF19F0"/>
    <w:rsid w:val="00FF365E"/>
    <w:rsid w:val="00FF38FA"/>
    <w:rsid w:val="00FF39BA"/>
    <w:rsid w:val="00FF72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A667E"/>
    <w:rPr>
      <w:color w:val="0000FF"/>
      <w:u w:val="single"/>
    </w:rPr>
  </w:style>
  <w:style w:type="paragraph" w:styleId="ListParagraph">
    <w:name w:val="List Paragraph"/>
    <w:basedOn w:val="Normal"/>
    <w:uiPriority w:val="34"/>
    <w:qFormat/>
    <w:rsid w:val="00136E1D"/>
    <w:pPr>
      <w:spacing w:after="200" w:line="276" w:lineRule="auto"/>
      <w:ind w:left="720"/>
      <w:contextualSpacing/>
    </w:pPr>
    <w:rPr>
      <w:rFonts w:ascii="Calibri" w:hAnsi="Calibri"/>
      <w:sz w:val="22"/>
      <w:szCs w:val="22"/>
      <w:lang w:bidi="en-US"/>
    </w:rPr>
  </w:style>
  <w:style w:type="table" w:styleId="TableGrid">
    <w:name w:val="Table Grid"/>
    <w:basedOn w:val="TableNormal"/>
    <w:rsid w:val="005C1E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D27D-FE7F-43BB-A1AE-525D5C11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7156</TotalTime>
  <Pages>2</Pages>
  <Words>938</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Highlights of First Quarter 2007 Accomplishments for:</vt:lpstr>
    </vt:vector>
  </TitlesOfParts>
  <Company>Yanni &amp; Associates Investment Advisors, LLC</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of First Quarter 2007 Accomplishments for:</dc:title>
  <dc:subject/>
  <dc:creator>Matthew A Yanni</dc:creator>
  <cp:keywords/>
  <dc:description/>
  <cp:lastModifiedBy>tempadmin</cp:lastModifiedBy>
  <cp:revision>4</cp:revision>
  <cp:lastPrinted>2009-07-08T20:14:00Z</cp:lastPrinted>
  <dcterms:created xsi:type="dcterms:W3CDTF">2009-06-30T13:51:00Z</dcterms:created>
  <dcterms:modified xsi:type="dcterms:W3CDTF">2009-07-08T20:21:00Z</dcterms:modified>
</cp:coreProperties>
</file>